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3772781D">
      <w:pPr>
        <w:jc w:val="center"/>
        <w:rPr>
          <w:b w:val="1"/>
          <w:sz w:val="36"/>
          <w:bCs/>
          <w:szCs w:val="40"/>
          <w:rFonts w:ascii="宋体" w:hAnsi="宋体" w:eastAsia="宋体"/>
        </w:rPr>
      </w:pPr>
      <w:r>
        <w:rPr>
          <w:b w:val="1"/>
          <w:sz w:val="36"/>
          <w:bCs/>
          <w:szCs w:val="40"/>
          <w:rFonts w:ascii="宋体" w:hAnsi="宋体" w:eastAsia="宋体" w:hint="eastAsia"/>
        </w:rPr>
        <w:t>会议纪要</w:t>
      </w:r>
    </w:p>
    <w:tbl>
      <w:tblPr>
        <w:tblStyle w:val="5"/>
        <w:tblW w:w="5000" w:type="pct"/>
        <w:jc w:val="center"/>
        <w:tblLayout w:type="autofi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452.000000"/>
        <w:gridCol w:w="2809.000000"/>
        <w:gridCol w:w="1413.000000"/>
        <w:gridCol w:w="2848.000000"/>
      </w:tblGrid>
      <w:tr w14:paraId="0F4BF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DBBC95A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会议名称</w:t>
            </w:r>
          </w:p>
        </w:tc>
        <w:tc>
          <w:tcPr>
            <w:tcW w:w="1648" w:type="pct"/>
          </w:tcPr>
          <w:p w14:paraId="66FB2C62">
            <w:pPr>
              <w:jc w:val="center"/>
              <w:rPr>
                <w:sz w:val="36"/>
                <w:szCs w:val="40"/>
                <w:rFonts w:ascii="宋体" w:hAnsi="宋体" w:eastAsia="宋体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医案评价</w:t>
            </w:r>
          </w:p>
        </w:tc>
        <w:tc>
          <w:tcPr>
            <w:tcW w:w="829" w:type="pct"/>
          </w:tcPr>
          <w:p w14:paraId="4F5A2842">
            <w:pPr>
              <w:jc w:val="center"/>
              <w:rPr>
                <w:b w:val="1"/>
                <w:sz w:val="36"/>
                <w:bCs/>
                <w:szCs w:val="40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会议时间</w:t>
            </w:r>
          </w:p>
        </w:tc>
        <w:tc>
          <w:tcPr>
            <w:tcW w:w="1671" w:type="pct"/>
          </w:tcPr>
          <w:p w14:paraId="3117E62D">
            <w:pPr>
              <w:jc w:val="center"/>
              <w:rPr>
                <w:sz w:val="36"/>
                <w:szCs w:val="40"/>
                <w:rFonts w:ascii="宋体" w:hAnsi="宋体" w:eastAsia="宋体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202</w:t>
            </w:r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3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年0</w:t>
            </w:r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4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月</w:t>
            </w:r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30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日</w:t>
            </w:r>
          </w:p>
        </w:tc>
      </w:tr>
      <w:tr w14:paraId="4F90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3A5E95C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主持人</w:t>
            </w:r>
          </w:p>
        </w:tc>
        <w:tc>
          <w:tcPr>
            <w:tcW w:w="1648" w:type="pct"/>
          </w:tcPr>
          <w:p w14:paraId="45AE8623">
            <w:pPr>
              <w:jc w:val="center"/>
              <w:rPr>
                <w:sz w:val="28"/>
                <w:szCs w:val="32"/>
                <w:rFonts w:ascii="宋体" w:hAnsi="宋体" w:eastAsia="宋体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罗伟生</w:t>
            </w:r>
          </w:p>
        </w:tc>
        <w:tc>
          <w:tcPr>
            <w:tcW w:w="829" w:type="pct"/>
          </w:tcPr>
          <w:p w14:paraId="1B98EA83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记录人</w:t>
            </w:r>
          </w:p>
        </w:tc>
        <w:tc>
          <w:tcPr>
            <w:tcW w:w="1671" w:type="pct"/>
          </w:tcPr>
          <w:p w14:paraId="42B9A443">
            <w:pPr>
              <w:jc w:val="center"/>
              <w:rPr>
                <w:sz w:val="28"/>
                <w:szCs w:val="32"/>
                <w:rFonts w:ascii="宋体" w:hAnsi="宋体" w:eastAsia="宋体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马晓聪</w:t>
            </w:r>
          </w:p>
        </w:tc>
      </w:tr>
      <w:tr w14:paraId="2D49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57DA229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FE9A745">
            <w:pPr>
              <w:jc w:val="center"/>
              <w:rPr>
                <w:sz w:val="28"/>
                <w:szCs w:val="32"/>
                <w:rFonts w:ascii="宋体" w:hAnsi="宋体" w:eastAsia="宋体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广西中医药大学附属瑞康医院教务科10楼会议室</w:t>
            </w:r>
          </w:p>
        </w:tc>
      </w:tr>
      <w:tr w14:paraId="0AF41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63227E4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参会人员及</w:t>
            </w:r>
          </w:p>
          <w:p w14:paraId="4069291B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FF86D4A">
            <w:pPr>
              <w:jc w:val="left"/>
              <w:rPr>
                <w:sz w:val="28"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参会人员：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罗伟生教授、马晓聪、罗茂权、李炜、黎敏航、唐燕、陈启帆、梁皓、伍漫漫、廖丹丹、梁瀞云</w:t>
            </w:r>
          </w:p>
          <w:p w14:paraId="13F35348">
            <w:pPr>
              <w:jc w:val="left"/>
              <w:rPr>
                <w:sz w:val="28"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到会情况：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应到11人，实到11人，迟到0人，请假0人。</w:t>
            </w:r>
          </w:p>
        </w:tc>
      </w:tr>
      <w:tr w14:paraId="7D6B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3A50958">
            <w:pPr>
              <w:jc w:val="center"/>
              <w:rPr>
                <w:b w:val="1"/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议题</w:t>
            </w:r>
          </w:p>
        </w:tc>
        <w:tc>
          <w:tcPr>
            <w:tcW w:w="4148" w:type="pct"/>
            <w:gridSpan w:val="3"/>
          </w:tcPr>
          <w:p w14:paraId="3A434C2C">
            <w:pPr>
              <w:jc w:val="center"/>
              <w:rPr>
                <w:sz w:val="28"/>
                <w:szCs w:val="32"/>
                <w:rFonts w:ascii="宋体" w:hAnsi="宋体" w:eastAsia="宋体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2023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年0</w:t>
            </w:r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4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月第一次医案评价</w:t>
            </w:r>
          </w:p>
        </w:tc>
      </w:tr>
      <w:tr w14:paraId="16A2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09396296">
            <w:pP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</w:pP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会议内容：</w:t>
            </w:r>
          </w:p>
          <w:p w14:paraId="5657BC89">
            <w:pP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</w:pPr>
            <w:r>
              <w:rPr>
                <w:sz w:val="28"/>
                <w:lang w:val="en-US" w:eastAsia="zh-CN"/>
                <w:bCs/>
                <w:szCs w:val="32"/>
                <w:rFonts w:ascii="宋体" w:hAnsi="宋体" w:eastAsia="宋体" w:hint="eastAsia"/>
              </w:rPr>
              <w:t>伍漫漫</w:t>
            </w:r>
            <w:r>
              <w:rPr>
                <w:sz w:val="28"/>
                <w:bCs/>
                <w:szCs w:val="32"/>
                <w:rFonts w:ascii="宋体" w:hAnsi="宋体" w:eastAsia="宋体" w:hint="eastAsia"/>
              </w:rPr>
              <w:t>汇报医案</w:t>
            </w:r>
            <w:r>
              <w:rPr>
                <w:b w:val="1"/>
                <w:sz w:val="28"/>
                <w:bCs/>
                <w:szCs w:val="32"/>
                <w:rFonts w:ascii="宋体" w:hAnsi="宋体" w:eastAsia="宋体" w:hint="eastAsia"/>
              </w:rPr>
              <w:t>：</w:t>
            </w:r>
          </w:p>
          <w:p w14:paraId="5C943521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lang w:val="en-US" w:eastAsia="zh-CN"/>
                <w:szCs w:val="28"/>
                <w:rFonts w:ascii="宋体" w:hAnsi="宋体" w:eastAsia="宋体" w:cs="宋体" w:hint="eastAsia"/>
              </w:rPr>
              <w:t>患者：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丁某涛</w:t>
            </w: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 xml:space="preserve">     性别：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男</w:t>
            </w: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 xml:space="preserve">      年龄：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37岁</w:t>
            </w:r>
          </w:p>
          <w:p w14:paraId="7BBD4543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就诊日期：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2023.04.24</w:t>
            </w: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 xml:space="preserve">             </w:t>
            </w:r>
          </w:p>
          <w:p w14:paraId="04152E98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主诉：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反复右胁肋部隐痛6年，加重20天。</w:t>
            </w:r>
          </w:p>
          <w:p w14:paraId="73F4396E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现病史：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患者自诉6余年前出现右胁肋部隐痛，外院明确诊断 “隐源性肝硬化 食管胃底静脉曲张”，规律服用抗纤软肝颗粒、水飞蓟宾胶囊护肝治疗（具体不详），期间右胁肋部疼痛隐痛反复。20天前患者右胁肋部疼痛加重，查肝功能提示谷丙转氨酶54 U/L（0-40U/L），上腹部彩超提示肝硬化。现为求进一步诊治至门诊就诊，刻诊：右胁肋部隐痛，偶有胀痛，偶有疲倦乏力，口干口苦口涩，纳可，寐差，大便烂，2-3次/天，小便频，夜尿2～3次。舌胖大，中有裂痕，苔白腻，脉弦。 </w:t>
            </w:r>
          </w:p>
          <w:p w14:paraId="3E693C0A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过敏史：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否认药物及食物过敏史。</w:t>
            </w:r>
          </w:p>
          <w:p w14:paraId="4026A4E8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既往史：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既往有“隐源性肝硬化 食管胃底静脉曲张”“胆囊炎”病史；有“脾脏切除术”史。 </w:t>
            </w:r>
          </w:p>
          <w:p w14:paraId="1FD5C99B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体格检查：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患者神志清楚，精神可，慢性肝病面容，表情痛苦。巩膜无黄染，无蜘蛛痣，无肝掌；心肺（-）；无腹部膨隆，腹壁静脉曲张；腹部无压痛，肝脾肋下未触及，墨菲氏征（-）；肝上界位于右锁骨中线第5肋间，肝区叩击痛，移动性浊音（-）。</w:t>
            </w:r>
          </w:p>
          <w:p w14:paraId="1BEB15F1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辅助检查：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 （2023-03-28 外院）肝功能：谷丙转氨酶54 U/L（0-40U/L），肝纤四项、血常规未见明显异常。上腹部彩超：肝脏切面形态失常，肝左叶体积增大，右叶体积偏小，包膜欠光整、肝内光点增粗、分布不均。符合慢性肝病声像图改变 (肝硬化)；胆囊继发改变、萎缩性胆囊炎。门静脉系统血管成像：l.肝便化伴食管下段静脉曲张及脾切除术后改变2.肠系膜上静脉及门静脉血栓。</w:t>
            </w:r>
          </w:p>
          <w:p w14:paraId="6789AA73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中医诊断：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胁痛</w:t>
            </w: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04C7348C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证候诊断：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气虚血瘀证 </w:t>
            </w:r>
          </w:p>
          <w:p w14:paraId="65A6815A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西医诊断：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1.隐源性肝硬化 食管胃底静脉曲张；2.肝功能检查的异常结果；3.肠系膜上静脉及门静脉血栓；4.肝功能检查的异常结果 </w:t>
            </w:r>
          </w:p>
          <w:p w14:paraId="7F55E81C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治法：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疏肝行气，活血止痛 </w:t>
            </w:r>
          </w:p>
          <w:p w14:paraId="0D84FBB8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处方：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八珍荔核化纤方加减</w:t>
            </w:r>
          </w:p>
          <w:p w14:paraId="5544E461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当归10g      川芎10g      熟地黄10g   白芍10g</w:t>
            </w:r>
          </w:p>
          <w:p w14:paraId="7558B992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人参3g       茯苓10g      麸炒白术10g 炙甘草6g</w:t>
            </w:r>
          </w:p>
          <w:p w14:paraId="1DCD315E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荔枝核30g    黄芪15g      丹参10g     炒王不留行10g</w:t>
            </w:r>
          </w:p>
          <w:p w14:paraId="2F2CA4DE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 xml:space="preserve">醋五味子9g   醋鳖甲10g    墨旱莲15g   白花蛇舌草30g     </w:t>
            </w:r>
          </w:p>
          <w:p w14:paraId="2DEAB936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醋鸡内金10g  仙鹤草10g    醋莪术6g    醋三棱10g</w:t>
            </w:r>
          </w:p>
          <w:p w14:paraId="6B137F07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醋莪术10g    北柴胡10g    烫水蛭3g    乌药10g</w:t>
            </w:r>
          </w:p>
          <w:p w14:paraId="432071BF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茵陈10g      郁金10g      牡丹皮10g   油松节30g</w:t>
            </w:r>
          </w:p>
          <w:p w14:paraId="537EA8AC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蜜枇杷叶15g  夏枯草10g    麸炒枳实10g 木香6g</w:t>
            </w:r>
          </w:p>
          <w:p w14:paraId="51578573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砂仁3g       淡竹叶15g    麦冬10g     桑寄生15g</w:t>
            </w:r>
          </w:p>
          <w:p w14:paraId="27AA6253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ind w:firstLine="840" w:firstLineChars="300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21剂，水煎，日1剂，早晚分服</w:t>
            </w:r>
          </w:p>
          <w:p w14:paraId="52ADB5C7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复诊：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患者服药2月余后复诊，偶有右下腹隐痛，偶有疲倦乏力已除，口干口苦口涩已除，纳寐可，大便烂，1次/天，小便调。舌胖大，中有裂痕，苔白腻，脉弦。（2023-06-27 外院）血常规、肝功能未见明显异常。上腹部彩超：肝脏切面形态失常，肝左叶体积增大，右叶体积偏小，包膜不光整，肝内光点增粗、分布不均，肝内管道系统显示不清。符合慢性肝病声像图改变 (肝硬化)；胆囊继发改变、胆囊萎缩？胆汁淤积。</w:t>
            </w:r>
          </w:p>
          <w:p w14:paraId="6BD26B2E">
            <w:pPr>
              <w:keepNext w:val="0"/>
              <w:keepLines w:val="0"/>
              <w:pageBreakBefore w:val="0"/>
              <w:wordWrap w:val="1"/>
              <w:overflowPunct w:val="1"/>
              <w:topLinePunct w:val="0"/>
              <w:kinsoku w:val="1"/>
              <w:autoSpaceDE w:val="1"/>
              <w:autoSpaceDN w:val="1"/>
              <w:bidi w:val="0"/>
              <w:adjustRightInd w:val="1"/>
              <w:snapToGrid w:val="1"/>
              <w:spacing w:line="480" w:lineRule="exact"/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</w:pP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>【按语】</w:t>
            </w:r>
            <w:r>
              <w:rPr>
                <w:color w:val="auto"/>
                <w:sz w:val="28"/>
                <w:szCs w:val="28"/>
                <w:rFonts w:ascii="宋体" w:hAnsi="宋体" w:eastAsia="宋体" w:cs="宋体" w:hint="eastAsia"/>
              </w:rPr>
              <w:t>本案患者反复右胁肋部疼痛，属于中医学“胁痛”范畴，缘由患者先天不足，肝郁气滞，肝体失养，久病正气虚弱，气虚血瘀。故治以疏肝行气，活血止痛。本案患者在无病毒感染，无药物损伤，无环境影响等因素的情况下导致“隐源性肝硬化”，当属中医学所言“先天不足”，故罗伟生教授在治疗此类患者的时候，除使用八珍汤益气补血外，更考虑到了“肾为先天之本”，适当加入了桑寄生、墨旱莲等补益肝肾的药物，以助药力的发挥。</w:t>
            </w:r>
            <w:r>
              <w:rPr>
                <w:b w:val="1"/>
                <w:color w:val="auto"/>
                <w:sz w:val="28"/>
                <w:bCs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04AC020F">
            <w:pPr>
              <w:pStyle w:val="4"/>
              <w:widowControl w:val="1"/>
              <w:jc w:val="both"/>
              <w:widowControl/>
              <w:spacing w:afterAutospacing="0" w:beforeAutospacing="0" w:line="216" w:lineRule="atLeast"/>
              <w:rPr>
                <w:sz w:val="28"/>
                <w:szCs w:val="28"/>
                <w:rFonts w:ascii="宋体" w:hAnsi="宋体" w:eastAsia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  <w:r>
              <w:rPr>
                <w:sz w:val="28"/>
                <w:szCs w:val="32"/>
                <w:rFonts w:ascii="宋体" w:hAnsi="宋体" w:eastAsia="宋体" w:hint="eastAsia"/>
              </w:rPr>
              <w:t>黎敏航</w:t>
            </w:r>
            <w:r>
              <w:rPr>
                <w:sz w:val="28"/>
                <w:szCs w:val="28"/>
                <w:rFonts w:ascii="宋体" w:hAnsi="宋体" w:eastAsia="宋体" w:hint="eastAsia"/>
              </w:rPr>
              <w:t>：</w:t>
            </w:r>
          </w:p>
          <w:p w14:paraId="2709770C">
            <w:pPr>
              <w:numPr>
                <w:ilvl w:val="0"/>
                <w:numId w:val="1"/>
              </w:numP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</w:pP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在现病史中描述主症时</w:t>
            </w:r>
            <w:r>
              <w:rPr>
                <w:sz w:val="28"/>
                <w:szCs w:val="28"/>
                <w:rFonts w:ascii="宋体" w:hAnsi="宋体" w:eastAsia="宋体" w:hint="eastAsia"/>
              </w:rPr>
              <w:t>，</w:t>
            </w: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应同时描述加重或缓解因素。应具体写明症状</w:t>
            </w:r>
            <w:r>
              <w:rPr>
                <w:sz w:val="28"/>
                <w:szCs w:val="28"/>
                <w:rFonts w:ascii="宋体" w:hAnsi="宋体" w:eastAsia="宋体" w:hint="eastAsia"/>
              </w:rPr>
              <w:t>加重</w:t>
            </w: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或缓解的情况。</w:t>
            </w:r>
          </w:p>
          <w:p w14:paraId="4AAA79FC">
            <w:pPr>
              <w:numPr>
                <w:ilvl w:val="0"/>
                <w:numId w:val="1"/>
              </w:numPr>
              <w:rPr>
                <w:sz w:val="28"/>
                <w:lang w:val="en-US" w:eastAsia="zh-CN"/>
                <w:szCs w:val="28"/>
                <w:rFonts w:ascii="宋体" w:hAnsi="宋体" w:eastAsia="宋体" w:hint="default"/>
              </w:rPr>
            </w:pP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应写明患者是否受过外伤或撞击。</w:t>
            </w:r>
          </w:p>
          <w:p w14:paraId="3E67D1DB">
            <w:pPr>
              <w:rPr>
                <w:sz w:val="28"/>
                <w:szCs w:val="28"/>
                <w:rFonts w:ascii="宋体" w:hAnsi="宋体" w:eastAsia="宋体" w:hint="eastAsia"/>
              </w:rPr>
            </w:pP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唐燕</w:t>
            </w:r>
            <w:r>
              <w:rPr>
                <w:sz w:val="28"/>
                <w:szCs w:val="28"/>
                <w:rFonts w:ascii="宋体" w:hAnsi="宋体" w:eastAsia="宋体" w:hint="eastAsia"/>
              </w:rPr>
              <w:t>：</w:t>
            </w:r>
          </w:p>
          <w:p w14:paraId="54FB3F0B">
            <w:pPr>
              <w:numPr>
                <w:ilvl w:val="0"/>
                <w:numId w:val="2"/>
              </w:numP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</w:pP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应询问清楚当时发病前或者发病时患者情绪如何或者在做什么。</w:t>
            </w:r>
          </w:p>
          <w:p w14:paraId="2B36178C">
            <w:pPr>
              <w:rPr>
                <w:sz w:val="28"/>
                <w:bCs/>
                <w:szCs w:val="32"/>
                <w:rFonts w:ascii="宋体" w:hAnsi="宋体" w:eastAsia="宋体"/>
              </w:rPr>
            </w:pPr>
            <w:r>
              <w:rPr>
                <w:sz w:val="28"/>
                <w:lang w:val="en-US" w:eastAsia="zh-CN"/>
                <w:szCs w:val="28"/>
                <w:rFonts w:ascii="宋体" w:hAnsi="宋体" w:eastAsia="宋体" w:hint="eastAsia"/>
              </w:rPr>
              <w:t>2.</w:t>
            </w:r>
            <w:r>
              <w:rPr>
                <w:sz w:val="28"/>
                <w:szCs w:val="28"/>
                <w:rFonts w:ascii="宋体" w:hAnsi="宋体" w:eastAsia="宋体"/>
              </w:rPr>
              <w:t>按语引用详实，药物分析全面，可再论述一下老师对该病例的理解。</w:t>
            </w:r>
          </w:p>
          <w:p w14:paraId="4FE0EA12">
            <w:pPr>
              <w:rPr>
                <w:sz w:val="28"/>
                <w:szCs w:val="32"/>
                <w:rFonts w:ascii="宋体" w:hAnsi="宋体" w:eastAsia="宋体" w:hint="eastAsia"/>
              </w:rPr>
            </w:pPr>
            <w:r>
              <w:rPr>
                <w:sz w:val="28"/>
                <w:szCs w:val="32"/>
                <w:rFonts w:ascii="宋体" w:hAnsi="宋体" w:eastAsia="宋体" w:hint="eastAsia"/>
              </w:rPr>
              <w:t>罗伟生教授：</w:t>
            </w:r>
          </w:p>
          <w:p w14:paraId="4A4B4C9F">
            <w:pPr>
              <w:numPr>
                <w:ilvl w:val="0"/>
                <w:numId w:val="3"/>
              </w:numPr>
              <w:rPr>
                <w:sz w:val="28"/>
                <w:lang w:val="en-US" w:eastAsia="zh-CN"/>
                <w:szCs w:val="32"/>
                <w:rFonts w:ascii="宋体" w:hAnsi="宋体" w:eastAsia="宋体" w:hint="default"/>
              </w:rPr>
            </w:pPr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胁痛的病因主要有情志不遂、饮食不节、外感湿热、跌扑损伤、劳欲久病等，胁痛的基本病机为肝胆络脉失和。</w:t>
            </w:r>
          </w:p>
          <w:p w14:paraId="6337278B">
            <w:pPr>
              <w:numPr>
                <w:ilvl w:val="0"/>
                <w:numId w:val="3"/>
              </w:numPr>
              <w:rPr>
                <w:sz w:val="28"/>
                <w:lang w:val="en-US" w:eastAsia="zh-CN"/>
                <w:szCs w:val="32"/>
                <w:rFonts w:ascii="宋体" w:hAnsi="宋体" w:eastAsia="宋体" w:hint="default"/>
              </w:rPr>
            </w:pPr>
            <w:bookmarkStart w:id="0" w:name="_GoBack"/>
            <w:bookmarkEnd w:id="0"/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劝告患者要保持良好的心态</w:t>
            </w:r>
            <w:r>
              <w:rPr>
                <w:sz w:val="28"/>
                <w:lang w:val="en-US" w:eastAsia="zh-CN"/>
                <w:szCs w:val="32"/>
                <w:rFonts w:ascii="宋体" w:hAnsi="宋体" w:eastAsia="宋体" w:hint="eastAsia"/>
              </w:rPr>
              <w:t>。</w:t>
            </w:r>
          </w:p>
          <w:p w14:paraId="6E2C3A64">
            <w:pPr>
              <w:rPr>
                <w:sz w:val="28"/>
                <w:szCs w:val="32"/>
                <w:rFonts w:ascii="宋体" w:hAnsi="宋体" w:eastAsia="宋体"/>
              </w:rPr>
            </w:pPr>
          </w:p>
        </w:tc>
      </w:tr>
    </w:tbl>
    <w:p w14:paraId="3EA26178">
      <w:pPr>
        <w:rPr>
          <w:b w:val="1"/>
          <w:sz w:val="36"/>
          <w:bCs/>
          <w:szCs w:val="40"/>
          <w:rFonts w:ascii="宋体" w:hAnsi="宋体" w:eastAsia="宋体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abstractNum w:abstractNumId="0">
    <w:nsid w:val="A4336C9E"/>
    <w:multiLevelType w:val="singleLevel"/>
    <w:tmpl w:val="A4336C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3A25E62"/>
    <w:multiLevelType w:val="singleLevel"/>
    <w:tmpl w:val="C3A25E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A92BCF5"/>
    <w:multiLevelType w:val="singleLevel"/>
    <w:tmpl w:val="6A92BC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4F1A38A5"/>
    <w:rsid w:val="666D7AB1"/>
    <w:rsid w:val="6EDF7B3C"/>
    <w:rsid w:val="7F306844"/>
  </w:rsids>
  <m:mathPr>
    <m:mathFont val="Cambria Math"/>
    <m:brkBin val="before"/>
    <m:brkBinSub val="--"/>
    <m:smallFrac val="1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 w:semiHidden="0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/>
    <w:lsdException w:name="annotation subject"/>
    <w:lsdException w:name="annotation text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/>
    <w:lsdException w:name="footnote text"/>
    <w:lsdException w:name="header" w:semiHidden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  <w:widowControl w:val="0"/>
    </w:pPr>
    <w:rPr>
      <w:sz w:val="21"/>
      <w:lang w:val="en-US" w:eastAsia="zh-CN" w:bidi="ar-SA"/>
      <w:kern w:val="2"/>
      <w:szCs w:val="22"/>
      <w:rFonts w:asciiTheme="minorHAnsi" w:hAnsiTheme="minorHAnsi" w:eastAsiaTheme="minorEastAsia" w:cstheme="minorBidi"/>
    </w:rPr>
  </w:style>
  <w:style w:type="character" w:styleId="6" w:default="1">
    <w:name w:val="Default Paragraph Font"/>
    <w:uiPriority w:val="1"/>
    <w:semiHidden/>
    <w:unhideWhenUsed/>
  </w:style>
  <w:style w:type="table" w:styleId="5" w:default="1">
    <w:name w:val="Normal Table"/>
    <w:uiPriority w:val="99"/>
    <w:semiHidden/>
    <w:unhideWhenUsed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link w:val="8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99"/>
    <w:unhideWhenUsed/>
    <w:qFormat/>
    <w:pPr>
      <w:snapToGrid w:val="0"/>
      <w:jc w:val="center"/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Normal (Web)"/>
    <w:basedOn w:val="1"/>
    <w:uiPriority w:val="99"/>
    <w:unhideWhenUsed/>
    <w:qFormat/>
    <w:pPr>
      <w:jc w:val="left"/>
      <w:spacing w:afterAutospacing="1" w:beforeAutospacing="1"/>
    </w:pPr>
    <w:rPr>
      <w:sz w:val="24"/>
      <w:kern w:val="0"/>
      <w:szCs w:val="24"/>
      <w:rFonts w:ascii="Times New Roman" w:hAnsi="Times New Roman" w:eastAsia="宋体" w:cs="Times New Roman"/>
    </w:rPr>
  </w:style>
  <w:style w:type="character" w:styleId="7" w:customStyle="1">
    <w:name w:val="页眉 Char"/>
    <w:basedOn w:val="6"/>
    <w:link w:val="3"/>
    <w:uiPriority w:val="99"/>
    <w:qFormat/>
    <w:rPr>
      <w:sz w:val="18"/>
      <w:szCs w:val="18"/>
    </w:rPr>
  </w:style>
  <w:style w:type="character" w:styleId="8" w:customStyle="1">
    <w:name w:val="页脚 Char"/>
    <w:basedOn w:val="6"/>
    <w:link w:val="2"/>
    <w:uiPriority w:val="99"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等线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等线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3</Pages>
  <Words>1482</Words>
  <Characters>1606</Characters>
  <Application>WPS Office_12.1.0.17147_F1E327BC-269C-435d-A152-05C5408002CA</Application>
  <DocSecurity>0</DocSecurity>
  <Lines>19</Lines>
  <Paragraphs>5</Paragraphs>
  <ScaleCrop>false</ScaleCrop>
  <Company>MS</Company>
  <LinksUpToDate>false</LinksUpToDate>
  <CharactersWithSpaces>1803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畅远 潘</dc:creator>
  <cp:keywords/>
  <dc:description/>
  <cp:lastModifiedBy>大凡凡</cp:lastModifiedBy>
  <cp:revision>3</cp:revision>
  <dcterms:created xsi:type="dcterms:W3CDTF">2024-07-20T10:56:00Z</dcterms:created>
  <dcterms:modified xsi:type="dcterms:W3CDTF">2024-08-04T05:15:01Z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2052-12.1.0.17147</vt:lpwstr>
  </property>
  <property fmtid="{D5CDD505-2E9C-101B-9397-08002B2CF9AE}" pid="3" name="ICV">
    <vt:lpwstr>B4E65D4472F34B72ABE00C8AE67A54D4_13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2781D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0F4BF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DBBC95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66FB2C6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4F5A2842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3117E62D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F90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3A5E95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5AE862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1B98EA8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2B9A44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2D49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57DA22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FE9A74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0AF41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63227E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069291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FF86D4A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13F3534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7D6B2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3A5095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A434C2C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16A2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09396296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5657BC89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  <w:lang w:val="en-US" w:eastAsia="zh-CN"/>
              </w:rPr>
              <w:t>伍漫漫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5C943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患者：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丁某涛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性别：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年龄：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37岁</w:t>
            </w:r>
          </w:p>
          <w:p w14:paraId="7BBD4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就诊日期：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2023.04.24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      </w:t>
            </w:r>
          </w:p>
          <w:p w14:paraId="04152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反复右胁肋部隐痛6年，加重20天。</w:t>
            </w:r>
          </w:p>
          <w:p w14:paraId="73F43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患者自诉6余年前出现右胁肋部隐痛，外院明确诊断 “隐源性肝硬化 食管胃底静脉曲张”，规律服用抗纤软肝颗粒、水飞蓟宾胶囊护肝治疗（具体不详），期间右胁肋部疼痛隐痛反复。20天前患者右胁肋部疼痛加重，查肝功能提示谷丙转氨酶54 U/L（0-40U/L），上腹部彩超提示肝硬化。现为求进一步诊治至门诊就诊，刻诊：右胁肋部隐痛，偶有胀痛，偶有疲倦乏力，口干口苦口涩，纳可，寐差，大便烂，2-3次/天，小便频，夜尿2～3次。舌胖大，中有裂痕，苔白腻，脉弦。 </w:t>
            </w:r>
          </w:p>
          <w:p w14:paraId="3E693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否认药物及食物过敏史。</w:t>
            </w:r>
          </w:p>
          <w:p w14:paraId="4026A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既往有“隐源性肝硬化 食管胃底静脉曲张”“胆囊炎”病史；有“脾脏切除术”史。 </w:t>
            </w:r>
          </w:p>
          <w:p w14:paraId="1FD5C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神志清楚，精神可，慢性肝病面容，表情痛苦。巩膜无黄染，无蜘蛛痣，无肝掌；心肺（-）；无腹部膨隆，腹壁静脉曲张；腹部无压痛，肝脾肋下未触及，墨菲氏征（-）；肝上界位于右锁骨中线第5肋间，肝区叩击痛，移动性浊音（-）。</w:t>
            </w:r>
          </w:p>
          <w:p w14:paraId="1BEB1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（2023-03-28 外院）肝功能：谷丙转氨酶54 U/L（0-40U/L），肝纤四项、血常规未见明显异常。上腹部彩超：肝脏切面形态失常，肝左叶体积增大，右叶体积偏小，包膜欠光整、肝内光点增粗、分布不均。符合慢性肝病声像图改变 (肝硬化)；胆囊继发改变、萎缩性胆囊炎。门静脉系统血管成像：l.肝便化伴食管下段静脉曲张及脾切除术后改变2.肠系膜上静脉及门静脉血栓。</w:t>
            </w:r>
          </w:p>
          <w:p w14:paraId="6789A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胁痛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04C73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气虚血瘀证 </w:t>
            </w:r>
          </w:p>
          <w:p w14:paraId="65A68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1.隐源性肝硬化 食管胃底静脉曲张；2.肝功能检查的异常结果；3.肠系膜上静脉及门静脉血栓；4.肝功能检查的异常结果 </w:t>
            </w:r>
          </w:p>
          <w:p w14:paraId="7F55E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治法：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疏肝行气，活血止痛 </w:t>
            </w:r>
          </w:p>
          <w:p w14:paraId="0D84F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处方：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八珍荔核化纤方加减</w:t>
            </w:r>
          </w:p>
          <w:p w14:paraId="5544E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白芍10g</w:t>
            </w:r>
          </w:p>
          <w:p w14:paraId="7558B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人参3g       茯苓10g      麸炒白术10g 炙甘草6g</w:t>
            </w:r>
          </w:p>
          <w:p w14:paraId="1DCD3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黄芪15g      丹参10g     炒王不留行10g</w:t>
            </w:r>
          </w:p>
          <w:p w14:paraId="2F2CA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醋五味子9g   醋鳖甲10g    墨旱莲15g   白花蛇舌草30g     </w:t>
            </w:r>
          </w:p>
          <w:p w14:paraId="2DEAB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醋鸡内金10g  仙鹤草10g    醋莪术6g    醋三棱10g</w:t>
            </w:r>
          </w:p>
          <w:p w14:paraId="6B137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    北柴胡10g    烫水蛭3g    乌药10g</w:t>
            </w:r>
          </w:p>
          <w:p w14:paraId="43207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 郁金10g      牡丹皮10g   油松节30g</w:t>
            </w:r>
          </w:p>
          <w:p w14:paraId="537EA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蜜枇杷叶15g  夏枯草10g    麸炒枳实10g 木香6g</w:t>
            </w:r>
          </w:p>
          <w:p w14:paraId="51578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砂仁3g       淡竹叶15g    麦冬10g     桑寄生15g</w:t>
            </w:r>
          </w:p>
          <w:p w14:paraId="27AA6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21剂，水煎，日1剂，早晚分服</w:t>
            </w:r>
          </w:p>
          <w:p w14:paraId="52ADB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患者服药2月余后复诊，偶有右下腹隐痛，偶有疲倦乏力已除，口干口苦口涩已除，纳寐可，大便烂，1次/天，小便调。舌胖大，中有裂痕，苔白腻，脉弦。（2023-06-27 外院）血常规、肝功能未见明显异常。上腹部彩超：肝脏切面形态失常，肝左叶体积增大，右叶体积偏小，包膜不光整，肝内光点增粗、分布不均，肝内管道系统显示不清。符合慢性肝病声像图改变 (肝硬化)；胆囊继发改变、胆囊萎缩？胆汁淤积。</w:t>
            </w:r>
          </w:p>
          <w:p w14:paraId="6BD2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【按语】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案患者反复右胁肋部疼痛，属于中医学“胁痛”范畴，缘由患者先天不足，肝郁气滞，肝体失养，久病正气虚弱，气虚血瘀。故治以疏肝行气，活血止痛。本案患者在无病毒感染，无药物损伤，无环境影响等因素的情况下导致“隐源性肝硬化”，当属中医学所言“先天不足”，故罗伟生教授在治疗此类患者的时候，除使用八珍汤益气补血外，更考虑到了“肾为先天之本”，适当加入了桑寄生、墨旱莲等补益肝肾的药物，以助药力的发挥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04AC020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黎敏航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</w:p>
          <w:p w14:paraId="2709770C"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在现病史中描述主症时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应同时描述加重或缓解因素。应具体写明症状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加重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或缓解的情况。</w:t>
            </w:r>
          </w:p>
          <w:p w14:paraId="4AAA79FC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应写明患者是否受过外伤或撞击。</w:t>
            </w:r>
          </w:p>
          <w:p w14:paraId="3E67D1DB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</w:p>
          <w:p w14:paraId="54FB3F0B">
            <w:pPr>
              <w:numPr>
                <w:ilvl w:val="0"/>
                <w:numId w:val="2"/>
              </w:numP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应询问清楚当时发病前或者发病时患者情绪如何或者在做什么。</w:t>
            </w:r>
          </w:p>
          <w:p w14:paraId="2B36178C">
            <w:pPr>
              <w:rPr>
                <w:rFonts w:ascii="宋体" w:hAnsi="宋体" w:eastAsia="宋体"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宋体" w:hAnsi="宋体" w:eastAsia="宋体"/>
                <w:sz w:val="28"/>
                <w:szCs w:val="28"/>
              </w:rPr>
              <w:t>按语引用详实，药物分析全面，可再论述一下老师对该病例的理解。</w:t>
            </w:r>
          </w:p>
          <w:p w14:paraId="4FE0EA12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</w:t>
            </w:r>
          </w:p>
          <w:p w14:paraId="4A4B4C9F">
            <w:pPr>
              <w:numPr>
                <w:ilvl w:val="0"/>
                <w:numId w:val="3"/>
              </w:num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胁痛的病因主要有情志不遂、饮食不节、外感湿热、跌扑损伤、劳欲久病等，胁痛的基本病机为肝胆络脉失和。</w:t>
            </w:r>
          </w:p>
          <w:p w14:paraId="6337278B">
            <w:pPr>
              <w:numPr>
                <w:ilvl w:val="0"/>
                <w:numId w:val="3"/>
              </w:num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劝告患者要保持良好的心态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。</w:t>
            </w:r>
          </w:p>
          <w:p w14:paraId="6E2C3A64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3EA26178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