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孔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某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军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，男，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岁。2021年0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日初诊。</w:t>
            </w:r>
          </w:p>
          <w:p w14:paraId="23F3B396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主诉：脐周疼痛2天。</w:t>
            </w:r>
          </w:p>
          <w:p w14:paraId="61E6F082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现病史：患者2天前无明显诱因出现脐周疼痛，隐痛为主，晨起明显，剧烈运动后加重，偶有口干，无口苦，无恶心呕吐，无咳嗽咳痰，无胸闷胸痛，纳可，寐一般，大便稀烂，2-3次/日，舌淡红，苔稍腻，脉沉。 </w:t>
            </w:r>
          </w:p>
          <w:p w14:paraId="4A217C9C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既往史：既往有高血压、肾功能损伤病史。</w:t>
            </w:r>
          </w:p>
          <w:p w14:paraId="6D2F447C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过敏史：无食物药物过敏史。</w:t>
            </w:r>
          </w:p>
          <w:p w14:paraId="4268DCA2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体格检查：神志清楚，自主体位，颈静脉无充盈，肝颈静脉回流征阴性，胸骨及肋骨无压痛，咽红，双肺呼吸正常，双肺未闻及干、湿性啰音，心率86次/分，律齐，各瓣膜区未闻及病理性杂音。腹软，全腹部无压痛、反跳痛，肝脾肋下未及，移动性浊音阴性，肠鸣音稍亢进，5次/分，双下肢无水肿。双侧肢体肌力5级，肌张力正常，生理反射存在，病理反射未引出。舌淡红，苔稍腻，脉沉。</w:t>
            </w:r>
          </w:p>
          <w:p w14:paraId="5568FD5B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中医诊断：腹痛</w:t>
            </w:r>
          </w:p>
          <w:p w14:paraId="4796213C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证候诊断：脾虚湿盛证</w:t>
            </w:r>
          </w:p>
          <w:p w14:paraId="68F584C5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西医诊断：肠易激综合征</w:t>
            </w:r>
          </w:p>
          <w:p w14:paraId="73E8D967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治    法：健脾益气，化湿消滞。</w:t>
            </w:r>
          </w:p>
          <w:p w14:paraId="3EA43B2D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处    方：柴芍六君子汤加减</w:t>
            </w:r>
          </w:p>
          <w:p w14:paraId="62262254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具体方药：</w:t>
            </w:r>
          </w:p>
          <w:p w14:paraId="7464379D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柴胡10g       白芍30g           白术10g            陈皮10g</w:t>
            </w:r>
          </w:p>
          <w:p w14:paraId="319AA263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炙甘草10g     茯苓15g           法半夏9g         醋没药10g</w:t>
            </w:r>
          </w:p>
          <w:p w14:paraId="3E11BF6C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醋乳香10g    海金沙10g         姜厚朴10g        荔枝核30g</w:t>
            </w:r>
          </w:p>
          <w:p w14:paraId="76F2CCAE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乌药10g       槟榔10g          麸炒枳壳10g</w:t>
            </w:r>
          </w:p>
          <w:p w14:paraId="2997D3FA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煎煮法：7剂，水煎，日1剂，早晚分服。</w:t>
            </w:r>
          </w:p>
          <w:p w14:paraId="2E2F7DC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复诊：服药后脐周自发性疼痛已除，但剧烈运动后仍有隐痛，无口干口苦，纳可，寐差，大便稀烂，大便不爽，2-3次/日， 舌淡红，苔稍腻，脉小弦。</w:t>
            </w:r>
          </w:p>
          <w:p w14:paraId="2501BB37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（守方用药，随症加减，具体用药在原方基础上加入炒酸枣仁10g醋延胡索15g鸡血藤30g苦参10g）</w:t>
            </w:r>
          </w:p>
          <w:p w14:paraId="74A90A6A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病案讨论：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梁皓：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东汉张仲景《金贯要略》中，有绕脐痛、少腹急结、少腹里急、少腹弦急等名称，并对腹痛已有了较为全面的论述，明确指出腹痛虚实辨证的具体方法和实者当下之法。如《金要略·腹满寒病宿食病脉证》云：“病者腹满，按之不痛为虚，痛者为实，可下之。舌黄未下者，下之黄白去。“腹中寒气，雷鸣切痛，胸胁逆满、呕吐”的脾胃虚寒、水湿内停证及寒邪攻冲证分别提出用附子鞭米汤及大建中汤治疗，开创了腹痛论治的先河。</w:t>
            </w:r>
          </w:p>
          <w:p w14:paraId="49125B89">
            <w:pPr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李炜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腹痛是指胃脘以下，耻骨毛际以上部位发生的疼痛。腹痛的病因多为感受外邪饮食所伤，情志失调及素体虚弱、劳倦内伤等导致气机阻滞、脉络痹阻或经脉失养而发生腹痛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。腹痛病机为脏腑气机不利，气血阻滞，不通则痛，或气血不足，经脉失养，脏腑失绪，不荣则痛。总之，本病的基本病机为不通则痛或不荣则痛。其病位在脾、胃、肝、胆、肾、膀胱及大肠、小肠等多个脏腑。</w:t>
            </w:r>
          </w:p>
          <w:p w14:paraId="20D70D76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罗伟生：肠易激综合征是临床常见的胃肠功能性疾病，是一组包括腹痛、腹胀伴排便习惯改变(腹泻、便秘)、粪便性状异常(稀便、黏液便、便秘)等临床表现的症候群，持续存在或间歇发作，但无器质性疾病(形态学、细菌学及生化代谢指标等异常)的证据。中医学没有肠易激综合征这一病名，根据临床表现可归属于泄泻、腹痛、便秘、滞下、郁证等病症范畴。本病的主要发病因素有脾胃虚弱、情志失调、饮食不节等几个方面本病的病位在肠道，与肝、脾、肾等脏腑功能失调密切相关，故治疗本病多从肝、脾、肾、肠道着手进行辨证论治。本病病机主要在于肝脾不调，运化失常，大肠传导失司，日久及肾，形成肝、脾、肾、肠胃诸脏腑功能失常。早期多属肝郁脾虚；若夹寒、夹热、夹痰可形成肝脾不调，寒热夹杂；后期累及肾脏，可表现为脾肾阳虚；波及血分则可致气滞血瘀等证候。故临床辨证需辨明虚实、寒热、气滞、兼夹的主次及相互关系，治疗以调理肝脾气机为主，兼以健脾温肾。罗伟生教授指出脾胃病从气论治、从虚论治，予陈皮、半夏、柴胡、枳壳调畅脾胃气机，人参、茯苓、甘草、白术健脾益气，共奏健脾益气，化湿消滞之效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ExMjM2ZjY4NmQwMmNmOGNlZmJkMjc3ODFmMzJhYzY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183A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1372</Words>
  <Characters>1455</Characters>
  <Lines>10</Lines>
  <Paragraphs>3</Paragraphs>
  <TotalTime>11</TotalTime>
  <ScaleCrop>false</ScaleCrop>
  <LinksUpToDate>false</LinksUpToDate>
  <CharactersWithSpaces>1467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WPS_1614399952</cp:lastModifiedBy>
  <dcterms:modified xsi:type="dcterms:W3CDTF">2024-07-27T03:33:28Z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96F6A4C6EC7E4A68B12A10F0B52D7683_13</vt:lpwstr>
  </property>
</Properties>
</file>