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0521F" w14:textId="77777777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2809"/>
        <w:gridCol w:w="1413"/>
        <w:gridCol w:w="2848"/>
      </w:tblGrid>
      <w:tr w:rsidR="00A025D4" w14:paraId="65F8C52D" w14:textId="77777777" w:rsidTr="00EB392A">
        <w:trPr>
          <w:trHeight w:val="510"/>
          <w:jc w:val="center"/>
        </w:trPr>
        <w:tc>
          <w:tcPr>
            <w:tcW w:w="852" w:type="pct"/>
          </w:tcPr>
          <w:p w14:paraId="28DB6EDE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0538FB04" w14:textId="77777777" w:rsidR="00A025D4" w:rsidRPr="00A025D4" w:rsidRDefault="00750472" w:rsidP="00750472">
            <w:pPr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罗伟生教授学术经验交流研讨</w:t>
            </w:r>
          </w:p>
        </w:tc>
        <w:tc>
          <w:tcPr>
            <w:tcW w:w="829" w:type="pct"/>
          </w:tcPr>
          <w:p w14:paraId="76027D0D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58844931" w14:textId="6CA66736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C1638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C16380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C16380">
              <w:rPr>
                <w:rFonts w:ascii="宋体" w:eastAsia="宋体" w:hAnsi="宋体" w:hint="eastAsia"/>
                <w:sz w:val="28"/>
                <w:szCs w:val="32"/>
              </w:rPr>
              <w:t>21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0FB42EAF" w14:textId="77777777" w:rsidTr="00EB392A">
        <w:trPr>
          <w:trHeight w:val="552"/>
          <w:jc w:val="center"/>
        </w:trPr>
        <w:tc>
          <w:tcPr>
            <w:tcW w:w="852" w:type="pct"/>
          </w:tcPr>
          <w:p w14:paraId="13B12A2A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0EAB466E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5BB9B423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7E409C2C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3AFA2658" w14:textId="77777777" w:rsidTr="00EB392A">
        <w:trPr>
          <w:trHeight w:val="564"/>
          <w:jc w:val="center"/>
        </w:trPr>
        <w:tc>
          <w:tcPr>
            <w:tcW w:w="852" w:type="pct"/>
          </w:tcPr>
          <w:p w14:paraId="0E6FBC3B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F94CFF0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231D5E02" w14:textId="77777777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299DD70F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750332B" w14:textId="77777777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AC7AE7F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697E089D" w14:textId="77777777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195F0128" w14:textId="77777777" w:rsidTr="00EB392A">
        <w:trPr>
          <w:trHeight w:val="516"/>
          <w:jc w:val="center"/>
        </w:trPr>
        <w:tc>
          <w:tcPr>
            <w:tcW w:w="852" w:type="pct"/>
          </w:tcPr>
          <w:p w14:paraId="38AC2694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F50C9EB" w14:textId="4A865BE3" w:rsidR="00A025D4" w:rsidRPr="00EB392A" w:rsidRDefault="00EB392A" w:rsidP="00750472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C1638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750472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C16380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="008C43DB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750472">
              <w:rPr>
                <w:rFonts w:ascii="宋体" w:eastAsia="宋体" w:hAnsi="宋体" w:hint="eastAsia"/>
                <w:sz w:val="28"/>
                <w:szCs w:val="32"/>
              </w:rPr>
              <w:t>罗伟生学术经验交流研讨会</w:t>
            </w:r>
          </w:p>
        </w:tc>
      </w:tr>
      <w:tr w:rsidR="00A025D4" w14:paraId="4DD32901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6CBC2BA1" w14:textId="77777777" w:rsidR="00750472" w:rsidRDefault="00EB392A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E2A000" w14:textId="63D4C8F8" w:rsidR="00750472" w:rsidRDefault="00750472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750472">
              <w:rPr>
                <w:rFonts w:ascii="宋体" w:eastAsia="宋体" w:hAnsi="宋体" w:hint="eastAsia"/>
                <w:bCs/>
                <w:sz w:val="28"/>
                <w:szCs w:val="32"/>
              </w:rPr>
              <w:t>马晓聪介绍主题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：罗伟生教授</w:t>
            </w:r>
            <w:r w:rsidR="0056136B" w:rsidRPr="0056136B">
              <w:rPr>
                <w:rFonts w:ascii="宋体" w:eastAsia="宋体" w:hAnsi="宋体"/>
                <w:b/>
                <w:bCs/>
                <w:sz w:val="28"/>
                <w:szCs w:val="32"/>
              </w:rPr>
              <w:t>从脾论治非酒精性脂肪肝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的临床经验。</w:t>
            </w:r>
          </w:p>
          <w:p w14:paraId="5620D1AD" w14:textId="57354512" w:rsidR="00B72FA7" w:rsidRDefault="00B72FA7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李炜：</w:t>
            </w:r>
            <w:r w:rsidR="0056136B">
              <w:rPr>
                <w:rFonts w:ascii="宋体" w:hAnsi="宋体"/>
                <w:sz w:val="28"/>
                <w:szCs w:val="28"/>
              </w:rPr>
              <w:t xml:space="preserve"> 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t>非酒精性脂肪肝（NAFLD）是一种肝脏疾病，在 这种疾病中，肝细胞中甘油三酯的大泡状积聚即肝脂 肪变性，在没有次要原因（如药物治疗、过量饮酒或某 些遗传性疾病）的情况下发生。非酒精性脂肪性肝 病（NAFLD）自 1980 年首次被描述，现已成为世界上 最常见的肝脏疾病之一。“西方化”饮食的中国青少 年 NAFLD 患病率超过 25%。NAFLD 随着时间的推 移，有可能发展成非酒精性脂肪肝炎（NASH）、肝纤维 化、肝硬化和肝癌等多种严重并发症。虽然单纯性 脂肪变性的进展率较低—大约只有 4% 的患者发展为 肝硬化—但超过 20% 的 NASH 患者将在他们的一生 中发展为肝硬化。其高发率及发展进行性病变对公 众健康及社会经济造成不利影响。目前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lastRenderedPageBreak/>
              <w:t>西医治疗尚 无成效药。中医古代文献中并无脂肪肝之病名，但《难 经·第五十六难》谓：“肝之积，名曰肥气，在左胁下，如 覆杯，有头足”，故可以肝积论之。罗教授认为“肝积” 一病虽病位在肝，但病机关键在脾，正所谓“四季脾 旺不受邪”，现代人的生活饮食习惯最易伤及脾，过 量进食与不规则饮食都会伤及脾胃，脾为土，肝为木， 土虚则木枯，土盛则木茂，脾土与肝木为相辅相成、相 互制约之关系，又如“见肝之病，知肝传脾，当先实脾也”。中医通过辨证论治，四诊合参，从脾而治，取得 了显著效果。</w:t>
            </w:r>
          </w:p>
          <w:p w14:paraId="4418C419" w14:textId="7092E824" w:rsidR="00B72FA7" w:rsidRDefault="00B72FA7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廖丹丹：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t>重土思想源于古代中国小农经济对土地的推 崇，农本经济的基础决定了中国古代哲学对土地的 重视。如河图洛书将“五”居中央，五为土数，以统 领四维，如唐容川在《医易通说》言：“盖中五者，太极 也。四方者，四象也。中五之极，临制四方，五行皆得 中五，乃能生成，所谓物物皆有一太极”。西周的伯 阳父言：“先王以土与金、木、水、火杂以诚万物”， 认为五行在万物形成过程中，土始终起主导地位，突 出了土的特殊作用。西汉《礼记乐记》也提到：“土， 别名也，五行最尊。故不自居部职也”。进一步明 确了土在五行中的重要地位。古代先贤将“重土” 思想引入中医学，通过观察人体脏腑生理病理变化， 认为“土”对应五脏中的脾，故在中医学领域“重土” 实乃“重脾”，其在中医学理论中诸多反映。《素问·玉机真藏论》曰“五脏者，皆禀气于胃，胃者五脏之本 也。”“脾为孤脏，中央土以灌四旁。”即脾胃运化水 谷精微，濡养五脏六腑，乃五脏六腑之根本。而在 探察疾病中，明代张景岳《景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lastRenderedPageBreak/>
              <w:t>岳全书》曰：“凡欲察病 者，必须先察胃气”。补土派李东垣根据《内经》“重脾”理论，提出了“百病皆由脾胃衰而生”的学术观 点，并创建健脾升阳益胃之治疗大法。罗教授中 医造诣深厚，通过近四十年的临床经验总结出“肝病 从脾土论治”的学术思想，认为“脾胃为枢之机”，土 旺则木茂，土虚则木枯，而肝木主一身之气机调达， 当 脾 胃 气 血 充 足，则 肝 木 顺 畅 调 达；当 脾 胃 气 血 不 足，肝木则失于通畅；脾宜升，胃宜降，肝气宜顺，不 良饮食生活习惯，易致脾不升，胃不降，而不良的情 志最易影响肝之条达，肝木失于通畅，气机不利，痰、 湿、热、淤等病理产物接踵而至，形成肝积之病也</w:t>
            </w:r>
            <w:r w:rsidR="0056136B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14:paraId="0527BC4A" w14:textId="525F64EC" w:rsidR="00B72FA7" w:rsidRDefault="00B72FA7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陈启帆：</w:t>
            </w:r>
            <w:r w:rsidR="0056136B">
              <w:rPr>
                <w:rFonts w:ascii="宋体" w:hAnsi="宋体"/>
                <w:sz w:val="28"/>
                <w:szCs w:val="28"/>
              </w:rPr>
              <w:t xml:space="preserve"> 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t>五脏相关理论最早见于《素问·玉机真脏论》，曰： “五脏相通，移皆有次”。在五脏相关理论中肝脾相 关在临床应用最为广泛。如《难经》所言：“肝病当 传之于脾，故先实其脾气”，《伤寒杂病论》亦记述：“见 肝之病，知肝传脾，当先实脾”，由此可见“肝脾相关” 理论的源远流长。生理上，《素问·经脉别论》云：“食气入胃，散精于肝，淫气于筋。”脾主运化，气血生化之 源，而肝主藏血，只有脾胃运化正常，气血充足，肝才 能有所藏，以濡养肝筋。病理上，《素问·至真要大论》 曰：“厥阴之胜，耳鸣头眩，馈馈欲呕，胃鬲如寒……胃 脘当心而痛，上支两胁……甚则呕吐，膈咽不通。”这 里虽言运气之理，其中却蕴含肝木乘胃土之意。肝脾之间的相关性，在现代科学也得到了证实，认为肝 主疏泄与调节下丘脑 - 垂体轴有关，脾主运化主要与 胃肠功能有关，而以脑肠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lastRenderedPageBreak/>
              <w:t>轴功能紊乱为主的胃肠功能 性疾病的中医病机多为肝失疏泄、脾失运化。罗 教授认为，肝脾的关系在疾病的发展中起到承上启下 的作用，而脾为中州，起到调运枢纽的重要作用，治肝 病，当先调运中州，中州得运，则肝气顺矣，则病自安。</w:t>
            </w:r>
          </w:p>
          <w:p w14:paraId="606F281D" w14:textId="0645BED1" w:rsidR="00CE6E13" w:rsidRDefault="00B72FA7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梁皓：</w:t>
            </w:r>
            <w:r w:rsidR="0056136B">
              <w:rPr>
                <w:rFonts w:ascii="宋体" w:hAnsi="宋体"/>
                <w:sz w:val="28"/>
                <w:szCs w:val="28"/>
              </w:rPr>
              <w:t xml:space="preserve"> 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t>罗 教 授 认 为，肝 积 之 病 乃 本 虚 标 实，由 食 饮 不 节，情志不调，寒温不适等致脾胃运化失常，气机不 利而致酿生痰湿，进而土壅木郁。随着病程进展，痰 湿郁久，或化热，或成淤血，甚者成肿瘤。痰湿者，可 予适量薏苡仁、泽泻、陈皮等；有热者，可予连翘、黄连 等清热；有淤者，可加丹参、赤芍等活血化瘀；气滞明 显者，可加枳实、厚朴等。名目虽繁，但万变不离其宗， 治疗 NAFLD 的关键仍是时时顾护脾胃。其治疗过 程需循序渐进有步骤进行，切忌操之过急，正如《素 问·三部九候论》有言：“实则泻之，虚则补之，必先 去其血脉而后调之，无问其病，以平为期”。“去其 血脉”即首当祛除郁滞之病邪等标实，使其气血流 通，然后辨其虚实，虚则补之，实则泻之，恢复人体脏 腑正常生理功能，实现阴阳平衡。方药之外，需告知 病人调整生活方式，做到规律起居，饮食有节，调整 情绪，以及适当运动，如此可事半功倍</w:t>
            </w:r>
            <w:r w:rsidR="0056136B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14:paraId="496BF642" w14:textId="1B3945CA" w:rsidR="000275C1" w:rsidRPr="00421440" w:rsidRDefault="00B72FA7" w:rsidP="0056136B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32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马晓聪：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t>罗伟生教授认为 NAFLD 的治疗应从 脾胃着手，一者因脾胃为五脏六腑气血之海，后天之本，其余脏腑生理病理均与脾胃相关。二者脾胃乃中焦，气机枢纽，气者本应流畅无滞，如稍有阻滞则百病 起。三者肝脾生理病理关系密切，治疗当辨证论治， 先祛除有形之</w:t>
            </w:r>
            <w:r w:rsidR="0056136B" w:rsidRPr="0056136B">
              <w:rPr>
                <w:rFonts w:ascii="宋体" w:hAnsi="宋体"/>
                <w:sz w:val="28"/>
                <w:szCs w:val="28"/>
              </w:rPr>
              <w:lastRenderedPageBreak/>
              <w:t>邪，再建中补虚，扶助正气，调整阴阳。 治病犹如抽丝剥茧，需缓缓图之，不可以为毕其功于 一役。所谓“上工不治已病，治未病也”。</w:t>
            </w:r>
          </w:p>
        </w:tc>
      </w:tr>
    </w:tbl>
    <w:p w14:paraId="38D8DBD6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 w:rsidSect="001B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CEC26" w14:textId="77777777" w:rsidR="00FE0285" w:rsidRDefault="00FE0285" w:rsidP="00A025D4">
      <w:r>
        <w:separator/>
      </w:r>
    </w:p>
  </w:endnote>
  <w:endnote w:type="continuationSeparator" w:id="0">
    <w:p w14:paraId="4C439B03" w14:textId="77777777" w:rsidR="00FE0285" w:rsidRDefault="00FE0285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D588AD" w14:textId="77777777" w:rsidR="00FE0285" w:rsidRDefault="00FE0285" w:rsidP="00A025D4">
      <w:r>
        <w:separator/>
      </w:r>
    </w:p>
  </w:footnote>
  <w:footnote w:type="continuationSeparator" w:id="0">
    <w:p w14:paraId="28FFDF83" w14:textId="77777777" w:rsidR="00FE0285" w:rsidRDefault="00FE0285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5D4"/>
    <w:rsid w:val="000275C1"/>
    <w:rsid w:val="000776C0"/>
    <w:rsid w:val="00113D14"/>
    <w:rsid w:val="001A10F8"/>
    <w:rsid w:val="001B4230"/>
    <w:rsid w:val="00340D9B"/>
    <w:rsid w:val="00357D75"/>
    <w:rsid w:val="003967C9"/>
    <w:rsid w:val="003C004F"/>
    <w:rsid w:val="00421440"/>
    <w:rsid w:val="004E41E3"/>
    <w:rsid w:val="0056136B"/>
    <w:rsid w:val="005E1874"/>
    <w:rsid w:val="00637011"/>
    <w:rsid w:val="0064753D"/>
    <w:rsid w:val="00674719"/>
    <w:rsid w:val="006D1577"/>
    <w:rsid w:val="007333DC"/>
    <w:rsid w:val="00750472"/>
    <w:rsid w:val="007665E2"/>
    <w:rsid w:val="007A2DDD"/>
    <w:rsid w:val="008370BB"/>
    <w:rsid w:val="00897818"/>
    <w:rsid w:val="008C43DB"/>
    <w:rsid w:val="008E59FA"/>
    <w:rsid w:val="00913A67"/>
    <w:rsid w:val="00940BBC"/>
    <w:rsid w:val="00A025D4"/>
    <w:rsid w:val="00B26214"/>
    <w:rsid w:val="00B72FA7"/>
    <w:rsid w:val="00BB0C98"/>
    <w:rsid w:val="00BD25EA"/>
    <w:rsid w:val="00BF030A"/>
    <w:rsid w:val="00BF561E"/>
    <w:rsid w:val="00C16380"/>
    <w:rsid w:val="00C50105"/>
    <w:rsid w:val="00C8039D"/>
    <w:rsid w:val="00C94C96"/>
    <w:rsid w:val="00CE6E13"/>
    <w:rsid w:val="00EB392A"/>
    <w:rsid w:val="00F13392"/>
    <w:rsid w:val="00F854E1"/>
    <w:rsid w:val="00FE0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E2136"/>
  <w15:docId w15:val="{1AC11068-2CF6-4A06-B5D8-673D7FEC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3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paragraph" w:styleId="a7">
    <w:name w:val="Normal (Web)"/>
    <w:basedOn w:val="a"/>
    <w:uiPriority w:val="99"/>
    <w:unhideWhenUsed/>
    <w:rsid w:val="00CE6E13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387</Words>
  <Characters>2207</Characters>
  <Application>Microsoft Office Word</Application>
  <DocSecurity>0</DocSecurity>
  <Lines>18</Lines>
  <Paragraphs>5</Paragraphs>
  <ScaleCrop>false</ScaleCrop>
  <Company>MS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3</cp:revision>
  <dcterms:created xsi:type="dcterms:W3CDTF">2024-07-20T11:28:00Z</dcterms:created>
  <dcterms:modified xsi:type="dcterms:W3CDTF">2024-08-04T14:43:00Z</dcterms:modified>
</cp:coreProperties>
</file>