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100" w:line="575" w:lineRule="exact"/>
        <w:jc w:val="center"/>
        <w:rPr>
          <w:rFonts w:cs="方正小标宋简体"/>
          <w:b w:val="0"/>
          <w:bCs w:val="0"/>
          <w:color w:val="404040"/>
          <w:sz w:val="36"/>
          <w:szCs w:val="36"/>
        </w:rPr>
      </w:pPr>
      <w:r>
        <w:rPr>
          <w:rFonts w:cs="方正小标宋简体"/>
          <w:b w:val="0"/>
          <w:bCs w:val="0"/>
          <w:color w:val="404040"/>
          <w:sz w:val="36"/>
          <w:szCs w:val="36"/>
        </w:rPr>
        <w:t>广西中医药大学</w:t>
      </w:r>
      <w:r>
        <w:rPr>
          <w:rFonts w:hint="eastAsia" w:cs="方正小标宋简体"/>
          <w:b w:val="0"/>
          <w:bCs w:val="0"/>
          <w:color w:val="404040"/>
          <w:sz w:val="36"/>
          <w:szCs w:val="36"/>
          <w:lang w:val="en-US" w:eastAsia="zh-CN"/>
        </w:rPr>
        <w:t>第二</w:t>
      </w:r>
      <w:r>
        <w:rPr>
          <w:rFonts w:cs="方正小标宋简体"/>
          <w:b w:val="0"/>
          <w:bCs w:val="0"/>
          <w:color w:val="404040"/>
          <w:sz w:val="36"/>
          <w:szCs w:val="36"/>
        </w:rPr>
        <w:t>附属医院</w:t>
      </w:r>
    </w:p>
    <w:p>
      <w:pPr>
        <w:pStyle w:val="2"/>
        <w:spacing w:beforeAutospacing="0" w:after="100" w:line="575" w:lineRule="exact"/>
        <w:jc w:val="center"/>
        <w:rPr>
          <w:rFonts w:cs="方正小标宋简体"/>
          <w:b w:val="0"/>
          <w:bCs w:val="0"/>
          <w:color w:val="404040"/>
          <w:sz w:val="36"/>
          <w:szCs w:val="36"/>
        </w:rPr>
      </w:pPr>
      <w:r>
        <w:rPr>
          <w:rFonts w:cs="方正小标宋简体"/>
          <w:b w:val="0"/>
          <w:bCs w:val="0"/>
          <w:color w:val="404040"/>
          <w:sz w:val="36"/>
          <w:szCs w:val="36"/>
        </w:rPr>
        <w:t>病案数字化扫描服务项目采购需求</w:t>
      </w:r>
    </w:p>
    <w:p>
      <w:r>
        <w:rPr>
          <w:rFonts w:hint="eastAsia"/>
        </w:rPr>
        <w:t>技术参数及</w:t>
      </w:r>
      <w:r>
        <w:rPr>
          <w:rFonts w:hint="eastAsia"/>
          <w:lang w:val="en-US" w:eastAsia="zh-CN"/>
        </w:rPr>
        <w:t>需求</w:t>
      </w:r>
      <w:r>
        <w:rPr>
          <w:rFonts w:hint="eastAsia"/>
        </w:rPr>
        <w:t>中标注“▲”的技术参数为实质技术条款，必须满足或者优于，否则视为投标无效。</w:t>
      </w:r>
    </w:p>
    <w:p/>
    <w:tbl>
      <w:tblPr>
        <w:tblStyle w:val="11"/>
        <w:tblW w:w="11250" w:type="dxa"/>
        <w:tblInd w:w="-9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0"/>
        <w:gridCol w:w="1341"/>
        <w:gridCol w:w="3177"/>
        <w:gridCol w:w="2598"/>
        <w:gridCol w:w="781"/>
        <w:gridCol w:w="1046"/>
        <w:gridCol w:w="856"/>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0" w:hRule="atLeast"/>
        </w:trPr>
        <w:tc>
          <w:tcPr>
            <w:tcW w:w="1125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80" w:lineRule="exact"/>
              <w:textAlignment w:val="auto"/>
              <w:rPr>
                <w:rFonts w:ascii="宋体" w:hAnsi="宋体" w:eastAsia="宋体"/>
                <w:bCs/>
                <w:sz w:val="24"/>
                <w:szCs w:val="24"/>
              </w:rPr>
            </w:pPr>
            <w:r>
              <w:rPr>
                <w:rFonts w:hint="eastAsia" w:ascii="宋体" w:hAnsi="宋体" w:eastAsia="宋体"/>
                <w:bCs/>
                <w:sz w:val="24"/>
                <w:szCs w:val="24"/>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7" w:hRule="atLeast"/>
        </w:trPr>
        <w:tc>
          <w:tcPr>
            <w:tcW w:w="71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sz w:val="21"/>
                <w:szCs w:val="21"/>
              </w:rPr>
            </w:pPr>
            <w:r>
              <w:rPr>
                <w:rFonts w:hint="eastAsia" w:ascii="宋体" w:hAnsi="宋体" w:eastAsia="宋体" w:cs="宋体"/>
                <w:sz w:val="21"/>
                <w:szCs w:val="21"/>
              </w:rPr>
              <w:t>序号</w:t>
            </w:r>
          </w:p>
        </w:tc>
        <w:tc>
          <w:tcPr>
            <w:tcW w:w="134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sz w:val="21"/>
                <w:szCs w:val="21"/>
              </w:rPr>
            </w:pPr>
            <w:r>
              <w:rPr>
                <w:rFonts w:hint="eastAsia" w:ascii="宋体" w:hAnsi="宋体" w:eastAsia="宋体"/>
                <w:sz w:val="21"/>
                <w:szCs w:val="21"/>
              </w:rPr>
              <w:t>项目名称</w:t>
            </w:r>
          </w:p>
        </w:tc>
        <w:tc>
          <w:tcPr>
            <w:tcW w:w="5775"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sz w:val="21"/>
                <w:szCs w:val="21"/>
              </w:rPr>
            </w:pPr>
            <w:r>
              <w:rPr>
                <w:rFonts w:hint="eastAsia" w:ascii="宋体" w:hAnsi="宋体" w:eastAsia="宋体" w:cs="宋体"/>
                <w:sz w:val="21"/>
                <w:szCs w:val="21"/>
              </w:rPr>
              <w:t>服务</w:t>
            </w:r>
            <w:r>
              <w:rPr>
                <w:rFonts w:hint="eastAsia" w:ascii="宋体" w:hAnsi="宋体" w:cs="宋体"/>
                <w:sz w:val="21"/>
                <w:szCs w:val="21"/>
                <w:lang w:val="en-US" w:eastAsia="zh-CN"/>
              </w:rPr>
              <w:t>内容及</w:t>
            </w:r>
            <w:r>
              <w:rPr>
                <w:rFonts w:hint="eastAsia" w:ascii="宋体" w:hAnsi="宋体" w:eastAsia="宋体" w:cs="宋体"/>
                <w:sz w:val="21"/>
                <w:szCs w:val="21"/>
              </w:rPr>
              <w:t>要求</w:t>
            </w: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sz w:val="21"/>
                <w:szCs w:val="21"/>
              </w:rPr>
            </w:pPr>
            <w:r>
              <w:rPr>
                <w:rFonts w:hint="eastAsia" w:ascii="宋体" w:hAnsi="宋体" w:eastAsia="宋体" w:cs="宋体"/>
                <w:sz w:val="21"/>
                <w:szCs w:val="21"/>
              </w:rPr>
              <w:t>数量</w:t>
            </w:r>
          </w:p>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sz w:val="21"/>
                <w:szCs w:val="21"/>
              </w:rPr>
            </w:pPr>
            <w:r>
              <w:rPr>
                <w:rFonts w:hint="eastAsia" w:ascii="宋体" w:hAnsi="宋体" w:eastAsia="宋体" w:cs="宋体"/>
                <w:sz w:val="21"/>
                <w:szCs w:val="21"/>
              </w:rPr>
              <w:t>（项）</w:t>
            </w:r>
          </w:p>
        </w:tc>
        <w:tc>
          <w:tcPr>
            <w:tcW w:w="104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sz w:val="21"/>
                <w:szCs w:val="21"/>
              </w:rPr>
            </w:pPr>
            <w:r>
              <w:rPr>
                <w:rFonts w:hint="eastAsia" w:ascii="宋体" w:hAnsi="宋体" w:eastAsia="宋体" w:cs="宋体"/>
                <w:sz w:val="21"/>
                <w:szCs w:val="21"/>
              </w:rPr>
              <w:t>单价</w:t>
            </w:r>
          </w:p>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sz w:val="21"/>
                <w:szCs w:val="21"/>
              </w:rPr>
            </w:pPr>
            <w:r>
              <w:rPr>
                <w:rFonts w:hint="eastAsia" w:ascii="宋体" w:hAnsi="宋体" w:eastAsia="宋体" w:cs="宋体"/>
                <w:sz w:val="21"/>
                <w:szCs w:val="21"/>
              </w:rPr>
              <w:t>（元</w:t>
            </w:r>
            <w:r>
              <w:rPr>
                <w:rFonts w:hint="eastAsia" w:ascii="宋体" w:hAnsi="宋体" w:cs="宋体"/>
                <w:sz w:val="21"/>
                <w:szCs w:val="21"/>
                <w:lang w:val="en-US" w:eastAsia="zh-CN"/>
              </w:rPr>
              <w:t>/页</w:t>
            </w:r>
            <w:r>
              <w:rPr>
                <w:rFonts w:hint="eastAsia" w:ascii="宋体" w:hAnsi="宋体" w:eastAsia="宋体" w:cs="宋体"/>
                <w:sz w:val="21"/>
                <w:szCs w:val="21"/>
              </w:rPr>
              <w:t>）</w:t>
            </w:r>
          </w:p>
        </w:tc>
        <w:tc>
          <w:tcPr>
            <w:tcW w:w="85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sz w:val="21"/>
                <w:szCs w:val="21"/>
              </w:rPr>
            </w:pPr>
            <w:r>
              <w:rPr>
                <w:rFonts w:hint="eastAsia" w:ascii="宋体" w:hAnsi="宋体" w:eastAsia="宋体" w:cs="宋体"/>
                <w:sz w:val="21"/>
                <w:szCs w:val="21"/>
              </w:rPr>
              <w:t>预算金额（元）</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bCs/>
                <w:sz w:val="21"/>
                <w:szCs w:val="21"/>
              </w:rPr>
            </w:pPr>
            <w:r>
              <w:rPr>
                <w:rFonts w:hint="eastAsia" w:ascii="宋体" w:hAnsi="宋体" w:eastAsia="宋体"/>
                <w:bCs/>
                <w:sz w:val="21"/>
                <w:szCs w:val="21"/>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9" w:hRule="atLeast"/>
        </w:trPr>
        <w:tc>
          <w:tcPr>
            <w:tcW w:w="71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suppressLineNumbers w:val="0"/>
              <w:spacing w:before="0" w:beforeAutospacing="0" w:after="0" w:afterAutospacing="0" w:line="400" w:lineRule="exact"/>
              <w:ind w:left="105" w:leftChars="0" w:right="0" w:rightChars="0"/>
              <w:jc w:val="center"/>
              <w:rPr>
                <w:rFonts w:ascii="宋体" w:hAnsi="宋体" w:eastAsia="宋体"/>
                <w:sz w:val="24"/>
                <w:szCs w:val="24"/>
              </w:rPr>
            </w:pPr>
            <w:r>
              <w:rPr>
                <w:rFonts w:hint="eastAsia" w:ascii="宋体" w:hAnsi="宋体"/>
                <w:szCs w:val="21"/>
              </w:rPr>
              <w:t>1</w:t>
            </w:r>
          </w:p>
        </w:tc>
        <w:tc>
          <w:tcPr>
            <w:tcW w:w="134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suppressLineNumbers w:val="0"/>
              <w:spacing w:before="0" w:beforeAutospacing="0" w:after="0" w:afterAutospacing="0" w:line="360" w:lineRule="auto"/>
              <w:ind w:left="0" w:leftChars="0" w:right="0" w:rightChars="0"/>
              <w:jc w:val="center"/>
              <w:rPr>
                <w:rFonts w:ascii="宋体" w:hAnsi="宋体" w:eastAsia="宋体"/>
                <w:sz w:val="24"/>
                <w:szCs w:val="24"/>
              </w:rPr>
            </w:pPr>
            <w:r>
              <w:rPr>
                <w:rFonts w:hint="eastAsia" w:ascii="宋体" w:hAnsi="宋体"/>
                <w:sz w:val="24"/>
                <w:szCs w:val="24"/>
              </w:rPr>
              <w:t>病案数字化扫描服务</w:t>
            </w:r>
          </w:p>
        </w:tc>
        <w:tc>
          <w:tcPr>
            <w:tcW w:w="5775"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suppressLineNumbers w:val="0"/>
              <w:spacing w:before="0" w:beforeAutospacing="0" w:after="0" w:afterAutospacing="0"/>
              <w:ind w:left="0" w:right="0"/>
              <w:rPr>
                <w:rFonts w:hint="default" w:ascii="楷体_GB2312" w:hAnsi="楷体_GB2312" w:eastAsia="楷体_GB2312" w:cs="楷体_GB2312"/>
                <w:bCs/>
                <w:sz w:val="30"/>
                <w:szCs w:val="30"/>
              </w:rPr>
            </w:pPr>
            <w:r>
              <w:rPr>
                <w:rFonts w:hint="eastAsia" w:ascii="楷体_GB2312" w:hAnsi="楷体_GB2312" w:eastAsia="楷体_GB2312" w:cs="楷体_GB2312"/>
                <w:bCs/>
                <w:sz w:val="30"/>
                <w:szCs w:val="30"/>
              </w:rPr>
              <w:t>（一）病案数字化加工服务</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病历数字化加工服务量约</w:t>
            </w:r>
            <w:r>
              <w:rPr>
                <w:rFonts w:hint="eastAsia" w:ascii="宋体" w:hAnsi="宋体"/>
                <w:color w:val="FF0000"/>
                <w:kern w:val="0"/>
                <w:szCs w:val="21"/>
                <w:lang w:val="en-US" w:eastAsia="zh-CN"/>
              </w:rPr>
              <w:t>12</w:t>
            </w:r>
            <w:r>
              <w:rPr>
                <w:rFonts w:hint="eastAsia" w:ascii="宋体" w:hAnsi="宋体"/>
                <w:color w:val="FF0000"/>
                <w:kern w:val="0"/>
                <w:szCs w:val="21"/>
              </w:rPr>
              <w:t>0万页</w:t>
            </w:r>
            <w:r>
              <w:rPr>
                <w:rFonts w:hint="eastAsia" w:ascii="宋体" w:hAnsi="宋体"/>
                <w:color w:val="FF0000"/>
                <w:kern w:val="0"/>
                <w:szCs w:val="21"/>
                <w:lang w:eastAsia="zh-CN"/>
              </w:rPr>
              <w:t>（</w:t>
            </w:r>
            <w:r>
              <w:rPr>
                <w:rFonts w:hint="eastAsia" w:ascii="宋体" w:hAnsi="宋体"/>
                <w:color w:val="FF0000"/>
                <w:kern w:val="0"/>
                <w:szCs w:val="21"/>
                <w:lang w:val="en-US" w:eastAsia="zh-CN"/>
              </w:rPr>
              <w:t>叁年</w:t>
            </w:r>
            <w:r>
              <w:rPr>
                <w:rFonts w:hint="eastAsia" w:ascii="宋体" w:hAnsi="宋体"/>
                <w:color w:val="FF0000"/>
                <w:kern w:val="0"/>
                <w:szCs w:val="21"/>
                <w:lang w:eastAsia="zh-CN"/>
              </w:rPr>
              <w:t>）</w:t>
            </w:r>
            <w:r>
              <w:rPr>
                <w:rFonts w:hint="eastAsia" w:ascii="宋体" w:hAnsi="宋体"/>
                <w:kern w:val="0"/>
              </w:rPr>
              <w:t>。</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服务内容包含但不限于病案数字化交接、病案数字化加工、病案数字化审核、病案条码装箱打包、病案数字化上架、病案首页信息数据库转换、病案首页基本信息录入；</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病案数字化涉及医院病案安全性，病案数字化场所除医院工作人员数字化服务人员进入，其他人员严禁进入，并签订保密协议；</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数字化服务现场配有项目经理，负责数字化质量的审核，复核，抽查，需提供现场项目经理的联系方式及既往成功案例；</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数字化服务包含提供所需病历周转箱，病历周转箱要按医院要求定制；</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数字化服务要有专人翻拍，专人打包封箱，专人上架，每个病历周转箱都要有唯一条码等，要有详细的说明并提供工作人员分配表；</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数字化服务要求提供数字化加工服务的项目计划表；</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数字化服务应包含数字化</w:t>
            </w:r>
            <w:r>
              <w:rPr>
                <w:rFonts w:hint="eastAsia" w:ascii="宋体" w:hAnsi="宋体" w:eastAsia="宋体" w:cs="宋体"/>
                <w:kern w:val="0"/>
              </w:rPr>
              <w:t>所需耗材及硬件设备（高拍仪、电脑、条码枪、条码打印机、身份证读卡器、打包箱、条码纸、碳带、订书钉、工作服、胶带等）费用，</w:t>
            </w:r>
            <w:r>
              <w:rPr>
                <w:rFonts w:hint="eastAsia" w:ascii="宋体" w:hAnsi="宋体"/>
                <w:kern w:val="0"/>
              </w:rPr>
              <w:t>并提供耗材以及硬件设备一览表；</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数字化加工服务现场必须划分：拍摄区、审核区、病案存放区、拆钉装箱区，办公用品存放区，公告区，更衣区等区域；</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数字化加工人员要根据医院的病历要求进行病历分类；</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数字化加工要有交接流程，交接流程要保证病历数量无误，并对病历绑码处理。</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加工要求清晰，无阴影，手影等，并要求审核人员对加工的病历逐页审核，不允许部分审核，未审核的病历不允许打印、借阅；</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数字化服务包含售后服务，售后响应时间要求上班时间1小时内响应，4小时内到达现场。</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数字化服务包含对软件使用的培训、维护、需求处理等费用，数字化加工服务期内免费提供所需接口。</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数字化服务要求必须闭环管理，交接、领用、加工、审核、装箱、上架等流程全部处于闭环管理。</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数字化服务要求支持病历智能审核，审核有问题的病历人工逐一核对。</w:t>
            </w:r>
          </w:p>
          <w:p>
            <w:pPr>
              <w:pStyle w:val="16"/>
              <w:keepNext w:val="0"/>
              <w:keepLines w:val="0"/>
              <w:numPr>
                <w:ilvl w:val="0"/>
                <w:numId w:val="1"/>
              </w:numPr>
              <w:suppressLineNumbers w:val="0"/>
              <w:spacing w:before="0" w:beforeAutospacing="0" w:after="0" w:afterAutospacing="0"/>
              <w:ind w:left="80" w:leftChars="38" w:right="0" w:firstLine="0" w:firstLineChars="0"/>
              <w:rPr>
                <w:rFonts w:hint="default" w:ascii="宋体" w:hAnsi="宋体"/>
                <w:kern w:val="0"/>
              </w:rPr>
            </w:pPr>
            <w:r>
              <w:rPr>
                <w:rFonts w:hint="eastAsia" w:ascii="宋体" w:hAnsi="宋体"/>
                <w:kern w:val="0"/>
              </w:rPr>
              <w:t>数字化服务要求支持病历智能分类。</w:t>
            </w:r>
          </w:p>
          <w:p>
            <w:pPr>
              <w:pStyle w:val="12"/>
              <w:keepNext w:val="0"/>
              <w:keepLines w:val="0"/>
              <w:numPr>
                <w:ilvl w:val="0"/>
                <w:numId w:val="2"/>
              </w:numPr>
              <w:suppressLineNumbers w:val="0"/>
              <w:spacing w:before="0" w:beforeAutospacing="0" w:after="0" w:afterAutospacing="0"/>
              <w:ind w:left="449" w:leftChars="214" w:right="0" w:firstLine="0" w:firstLineChars="0"/>
              <w:rPr>
                <w:rFonts w:hint="default" w:ascii="楷体_GB2312" w:hAnsi="楷体_GB2312" w:eastAsia="楷体_GB2312" w:cs="楷体_GB2312"/>
                <w:bCs/>
                <w:sz w:val="30"/>
                <w:szCs w:val="30"/>
              </w:rPr>
            </w:pPr>
            <w:r>
              <w:rPr>
                <w:rFonts w:hint="eastAsia" w:ascii="楷体_GB2312" w:hAnsi="楷体_GB2312" w:eastAsia="楷体_GB2312" w:cs="楷体_GB2312"/>
                <w:bCs/>
                <w:sz w:val="30"/>
                <w:szCs w:val="30"/>
              </w:rPr>
              <w:t>软件要求</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要求采用C/S和B/S架构相结合的模式，病案加工处理采用C/S架构，浏览要采用B/S架构，无需安装客户端，方便病案的查询浏览；</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执行标准：按《纸质档案数字化技术规范（ DA/T31-2017）》执行；</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扫描或拍照的数字影像分辨率≥200DPI，图像完整，不丢失细节；</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数字病案采用通用的图像文件格式存储图像；</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对每页电子病案的属性的按要求进行分类；</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病案首页信息录入格式要求按国家卫计委现行的标准格式</w:t>
            </w:r>
            <w:r>
              <w:rPr>
                <w:rFonts w:hint="eastAsia" w:ascii="宋体" w:hAnsi="宋体"/>
                <w:kern w:val="0"/>
                <w:lang w:eastAsia="zh-CN"/>
              </w:rPr>
              <w:t>；</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病案数字化处理模块包括病案加工、病案处理、系统管理三大部分；</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病案加工部分应包括拍摄、补拍、自动扫描、图片分类等功能；</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病案管理部分应包括审核、处理审核未通过、病案质控记录、病案删除、错误检查、未扫描病案查询、病案浏览、病案上架检索、打印、打印查询及修改、条码打印、病案上架管理、工作统计等功能；</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病案数字化处理模块要包括图片参数配置、参数配置、打印套餐维护、</w:t>
            </w:r>
            <w:r>
              <w:rPr>
                <w:rFonts w:hint="eastAsia" w:ascii="宋体" w:hAnsi="宋体"/>
                <w:color w:val="000000" w:themeColor="text1"/>
                <w:kern w:val="0"/>
                <w14:textFill>
                  <w14:solidFill>
                    <w14:schemeClr w14:val="tx1"/>
                  </w14:solidFill>
                </w14:textFill>
              </w:rPr>
              <w:t>用户及权限管理、</w:t>
            </w:r>
            <w:r>
              <w:rPr>
                <w:rFonts w:hint="eastAsia" w:ascii="宋体" w:hAnsi="宋体"/>
                <w:kern w:val="0"/>
              </w:rPr>
              <w:t>病人信息替换、条码替换、模块设置等功能；</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启动界面先进便捷，具有病案拍摄，审核，打印，统计，病案上架，退出快捷功能；</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支持数字化图片采用WEB SERVICE 接口上传数据，保证数据安全；</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color w:val="FF0000"/>
                <w:kern w:val="0"/>
              </w:rPr>
            </w:pPr>
            <w:r>
              <w:rPr>
                <w:rFonts w:hint="eastAsia" w:ascii="宋体" w:hAnsi="宋体"/>
                <w:color w:val="FF0000"/>
                <w:kern w:val="0"/>
              </w:rPr>
              <w:t>支持使用APP系统，自动根据医疗小组，离线最新的数字化病案资料，可利用平板APP进行分析查看病案图片；</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color w:val="FF0000"/>
                <w:kern w:val="0"/>
              </w:rPr>
            </w:pPr>
            <w:r>
              <w:rPr>
                <w:rFonts w:hint="eastAsia" w:ascii="宋体" w:hAnsi="宋体"/>
                <w:color w:val="FF0000"/>
                <w:kern w:val="0"/>
              </w:rPr>
              <w:t>支持医院信息系统、OA对接形成单点登陆功能，方便相互数据的交互共享；</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支持调用病案统计管理系统首页数据，实现病案信息的接口传输，保证数据安全，接口对接费用由中标方负责；</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在病案处理加工环节支持大屏幕显示器，支持分辨率1920*1080以上；</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数字化处理支持高速扫描模式，速度要求每分钟≥60张；</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系统要具备病案条码自动识别功能，能够自动识别分类条码，实现扫描后的自动分类</w:t>
            </w:r>
            <w:r>
              <w:rPr>
                <w:rFonts w:hint="eastAsia" w:ascii="宋体" w:hAnsi="宋体"/>
                <w:kern w:val="0"/>
                <w:lang w:eastAsia="zh-CN"/>
              </w:rPr>
              <w:t>；</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支持加工端暂存一定天数数据，防止数据出现丢失，要求具备临时保存功能；</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数字化存储应为加密格式。防止被复制后出现信息泄露；</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要求系统具有病案质控功能，质控患者病案信息的完整性，能够检查病案的类别以及病案页码漏扫的情况；</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系统要能够自动记录用户在系统内所有操作的详细日志，并可形成报表，便于回溯追踪；</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病案申请浏览模块中，支持逐份、批量、按科室审核；</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在审核权限控制中，可以控制到科室、人员，支持按时间范围（永久、年、月、日、小时）授权；</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要求病案浏览时具备多条件复合查询功能，实现首页快捷检索，快速查找病案信息；</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要能够实现病案的对比查询，例如同一患者多次住院历史病案的对比浏览，科研病案的对比查询浏览；</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要求首页具有病案申请状态、以时间轴形式显示（病案当前处理状态、当前位置、历史操作）；</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在申请过程中具备提醒、催办等功能；</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要能够支持病案图片的科研讨论、在线讨论，能够查询到病案当前的位置以浏览的历史记录，支持滚轮的放大缩小以及拖放；</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病案在查询浏览时显示的病案图像具有水印，防止非法拍摄，屏蔽非法拷贝；</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支持一键打印，及自定义配置水印；</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要求数字化软件具有病历质控功能，要能质控出处理后患者病历信息的完整性，能够检查病历的类别以及病历页码漏扫的情况；</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数字化病案的打印具有色彩选择和打印套餐选择，打印套餐可进行维护；</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能够自动分析出病案加工的工作量，以及申请、复印的工作量；</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病案打印时支持二代身份证读卡器，可以直接扫描患者及代理人的身份证并进行记录，记录内容包含但不仅限于打印操作人员、申请打印人员、申请日期、打印日期等等；</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病案打印支持遮盖打印、截取打印</w:t>
            </w:r>
            <w:r>
              <w:rPr>
                <w:rFonts w:hint="eastAsia" w:ascii="宋体" w:hAnsi="宋体"/>
                <w:kern w:val="0"/>
                <w:lang w:eastAsia="zh-CN"/>
              </w:rPr>
              <w:t>；</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要具有打印记录，能够记录病案打印过程的所有操作，包括所打印病案的病案号、患者姓名、打印时间、打印页码等等；</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支持邮寄信息记录，可以按时间段、申请人及邮寄状态统计邮寄的明细记录；</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系统要具有开放性，能够根据医院的实际需求进行应用系统的重组以及系统的二次开发；</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数字化病案浏览模块要包含病案查询、记录管理、申请单管理、系统设置四大主要部分；</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数字化病案图片的查询要支持模糊查询和精确查询、病案的保密查询、科研查询和对比查询等；</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病案浏览查询的条件支持住院号、病案号、住院次数、患者姓名、手术名称、麻醉方式、切口等级、诊断名称、入院科室、主治医师、住院医师、手术时间、住院时间、性别等进行查询；</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eastAsia="宋体" w:cs="宋体"/>
                <w:kern w:val="0"/>
              </w:rPr>
            </w:pPr>
            <w:r>
              <w:rPr>
                <w:rFonts w:hint="eastAsia" w:ascii="宋体" w:hAnsi="宋体"/>
                <w:kern w:val="0"/>
              </w:rPr>
              <w:t>要具有数字化病案图片的保密管理，保密要分为三个级</w:t>
            </w:r>
            <w:r>
              <w:rPr>
                <w:rFonts w:hint="eastAsia" w:ascii="宋体" w:hAnsi="宋体" w:eastAsia="宋体" w:cs="宋体"/>
                <w:kern w:val="0"/>
              </w:rPr>
              <w:t>别，保密的图片不能随意查询浏览；</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eastAsia="宋体" w:cs="宋体"/>
                <w:kern w:val="0"/>
              </w:rPr>
            </w:pPr>
            <w:r>
              <w:rPr>
                <w:rFonts w:hint="eastAsia" w:ascii="宋体" w:hAnsi="宋体" w:eastAsia="宋体" w:cs="宋体"/>
                <w:kern w:val="0"/>
              </w:rPr>
              <w:t>数据的安全符合《电子病历基本规范》《医疗机构病历管理规定》等法规，确保数据安全存储，满足电子病历评级五级要求</w:t>
            </w:r>
            <w:r>
              <w:rPr>
                <w:rFonts w:hint="eastAsia" w:ascii="宋体" w:hAnsi="宋体" w:eastAsia="宋体" w:cs="宋体"/>
                <w:kern w:val="0"/>
                <w:lang w:eastAsia="zh-CN"/>
              </w:rPr>
              <w:t>；</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要能够实现病案的对比查询，例如同一患者多次住院历史病案的对比浏览，科研病案的对比查询浏览；</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对查询到的病案要能够支持病案图片的科研讨论、在线讨论，能够查询到病案当前的位置以浏览的历史记录，支持鼠标滚轮的放大缩小以及拖放；</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要具有对数字化图片借阅浏览的申请单，病案申请浏览模块中，支持逐份、批量、按科室审核；</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系统支持死亡和非医嘱离院病历上报国家或直报广西平台；</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系统要能够对系统用户的所有操作以及病案的打印具有日志记录功能；</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用户管理：管理数字化客户端用户信息及B/S浏览用户信息，可以对用户信息进行查询/添加/修改/删除操作， 可以配合病案设置保密等级权限， 可以限定用户查看及申请科室权限；</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用户组管理：对用户进行分组， 可对分组进行查询/添加/修改/删除操作；</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权限组管理：对用户所拥有的系统功能进行设置， 并可限制该权限组所对应的相关科室；</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kern w:val="0"/>
              </w:rPr>
            </w:pPr>
            <w:r>
              <w:rPr>
                <w:rFonts w:hint="eastAsia" w:ascii="宋体" w:hAnsi="宋体"/>
                <w:kern w:val="0"/>
              </w:rPr>
              <w:t>数字化病案软件包含以下模块：数字化病案应用系统、数字化病案浏览器、数字化病案管理工作站、数字化病案打印工作站、数字化病案科研工作站、数字化病案随访工作站、数字化病案B/S浏览器；</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eastAsia="宋体" w:cs="宋体"/>
                <w:kern w:val="0"/>
              </w:rPr>
            </w:pPr>
            <w:r>
              <w:rPr>
                <w:rFonts w:hint="eastAsia" w:ascii="宋体" w:hAnsi="宋体" w:eastAsia="宋体" w:cs="宋体"/>
                <w:sz w:val="20"/>
                <w:szCs w:val="20"/>
                <w:lang w:val="en-US" w:eastAsia="zh-CN"/>
              </w:rPr>
              <w:t>▲</w:t>
            </w:r>
            <w:r>
              <w:rPr>
                <w:rFonts w:hint="eastAsia" w:ascii="宋体" w:hAnsi="宋体"/>
                <w:kern w:val="0"/>
              </w:rPr>
              <w:t>与医院HIS、EMR、病案归档</w:t>
            </w:r>
            <w:r>
              <w:rPr>
                <w:rFonts w:hint="eastAsia" w:ascii="宋体" w:hAnsi="宋体"/>
                <w:kern w:val="0"/>
                <w:lang w:eastAsia="zh-CN"/>
              </w:rPr>
              <w:t>、</w:t>
            </w:r>
            <w:r>
              <w:rPr>
                <w:rFonts w:hint="eastAsia" w:ascii="宋体" w:hAnsi="宋体"/>
                <w:color w:val="FF0000"/>
                <w:kern w:val="0"/>
                <w:lang w:eastAsia="zh-CN"/>
              </w:rPr>
              <w:t>病</w:t>
            </w:r>
            <w:r>
              <w:rPr>
                <w:rFonts w:hint="eastAsia" w:ascii="宋体" w:hAnsi="宋体"/>
                <w:color w:val="FF0000"/>
                <w:kern w:val="0"/>
                <w:lang w:val="en-US" w:eastAsia="zh-CN"/>
              </w:rPr>
              <w:t>历扫描</w:t>
            </w:r>
            <w:r>
              <w:rPr>
                <w:rFonts w:hint="eastAsia" w:ascii="宋体" w:hAnsi="宋体"/>
                <w:color w:val="FF0000"/>
                <w:kern w:val="0"/>
              </w:rPr>
              <w:t>系统</w:t>
            </w:r>
            <w:r>
              <w:rPr>
                <w:rFonts w:hint="eastAsia" w:ascii="宋体" w:hAnsi="宋体"/>
                <w:kern w:val="0"/>
              </w:rPr>
              <w:t>对接，支持MySQL/SQL Server/Oracle多数据库视图。因与HIS、EMR、病案归档</w:t>
            </w:r>
            <w:r>
              <w:rPr>
                <w:rFonts w:hint="eastAsia" w:ascii="宋体" w:hAnsi="宋体"/>
                <w:color w:val="FF0000"/>
                <w:kern w:val="0"/>
                <w:lang w:eastAsia="zh-CN"/>
              </w:rPr>
              <w:t>、病</w:t>
            </w:r>
            <w:r>
              <w:rPr>
                <w:rFonts w:hint="eastAsia" w:ascii="宋体" w:hAnsi="宋体"/>
                <w:color w:val="FF0000"/>
                <w:kern w:val="0"/>
                <w:lang w:val="en-US" w:eastAsia="zh-CN"/>
              </w:rPr>
              <w:t>历扫描</w:t>
            </w:r>
            <w:r>
              <w:rPr>
                <w:rFonts w:hint="eastAsia" w:ascii="宋体" w:hAnsi="宋体"/>
                <w:color w:val="FF0000"/>
                <w:kern w:val="0"/>
              </w:rPr>
              <w:t>系统</w:t>
            </w:r>
            <w:r>
              <w:rPr>
                <w:rFonts w:hint="eastAsia" w:ascii="宋体" w:hAnsi="宋体"/>
                <w:kern w:val="0"/>
              </w:rPr>
              <w:t>对</w:t>
            </w:r>
            <w:r>
              <w:rPr>
                <w:rFonts w:hint="eastAsia" w:ascii="宋体" w:hAnsi="宋体" w:eastAsia="宋体" w:cs="宋体"/>
                <w:kern w:val="0"/>
              </w:rPr>
              <w:t>接产生的双方服务费用均由本项目中标方负责涵盖；</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eastAsia="宋体" w:cs="宋体"/>
                <w:kern w:val="0"/>
              </w:rPr>
            </w:pPr>
            <w:r>
              <w:rPr>
                <w:rFonts w:hint="eastAsia" w:ascii="宋体" w:hAnsi="宋体" w:eastAsia="宋体" w:cs="宋体"/>
                <w:sz w:val="20"/>
                <w:szCs w:val="20"/>
                <w:lang w:val="en-US" w:eastAsia="zh-CN"/>
              </w:rPr>
              <w:t>▲</w:t>
            </w:r>
            <w:r>
              <w:rPr>
                <w:rFonts w:hint="eastAsia" w:ascii="宋体" w:hAnsi="宋体" w:eastAsia="宋体" w:cs="宋体"/>
                <w:kern w:val="0"/>
              </w:rPr>
              <w:t>软件满足国家卫健委要求：</w:t>
            </w:r>
            <w:r>
              <w:rPr>
                <w:rFonts w:hint="eastAsia" w:ascii="宋体" w:hAnsi="宋体" w:eastAsia="宋体" w:cs="宋体"/>
                <w:kern w:val="0"/>
                <w:lang w:val="en-US" w:eastAsia="zh-CN"/>
              </w:rPr>
              <w:t>支持与医院现有信息系统无缝对接，</w:t>
            </w:r>
            <w:r>
              <w:rPr>
                <w:rFonts w:hint="eastAsia" w:ascii="宋体" w:hAnsi="宋体" w:eastAsia="宋体" w:cs="宋体"/>
                <w:kern w:val="0"/>
              </w:rPr>
              <w:t>实现一键导出国家所需格式的患者报告，确保数据及时上传；</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eastAsia="宋体" w:cs="宋体"/>
                <w:kern w:val="0"/>
              </w:rPr>
            </w:pPr>
            <w:r>
              <w:rPr>
                <w:rFonts w:hint="eastAsia" w:ascii="宋体" w:hAnsi="宋体" w:eastAsia="宋体" w:cs="宋体"/>
                <w:sz w:val="20"/>
                <w:szCs w:val="20"/>
                <w:lang w:val="en-US" w:eastAsia="zh-CN"/>
              </w:rPr>
              <w:t>▲</w:t>
            </w:r>
            <w:r>
              <w:rPr>
                <w:rFonts w:hint="eastAsia" w:ascii="宋体" w:hAnsi="宋体" w:eastAsia="宋体" w:cs="宋体"/>
                <w:kern w:val="0"/>
              </w:rPr>
              <w:t>软件</w:t>
            </w:r>
            <w:r>
              <w:rPr>
                <w:rFonts w:hint="eastAsia" w:ascii="宋体" w:hAnsi="宋体" w:eastAsia="宋体" w:cs="宋体"/>
                <w:kern w:val="0"/>
                <w:lang w:val="en-US" w:eastAsia="zh-CN"/>
              </w:rPr>
              <w:t>支持与医院现有信息系统无缝对接，支持</w:t>
            </w:r>
            <w:r>
              <w:rPr>
                <w:rFonts w:hint="eastAsia" w:ascii="宋体" w:hAnsi="宋体" w:eastAsia="宋体" w:cs="宋体"/>
                <w:kern w:val="0"/>
              </w:rPr>
              <w:t>死亡和非医嘱离院病历上报国家或直报广西平台；</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eastAsia="宋体" w:cs="宋体"/>
                <w:kern w:val="0"/>
              </w:rPr>
            </w:pPr>
            <w:r>
              <w:rPr>
                <w:rFonts w:hint="eastAsia" w:ascii="宋体" w:hAnsi="宋体" w:eastAsia="宋体" w:cs="宋体"/>
                <w:sz w:val="20"/>
                <w:szCs w:val="20"/>
                <w:lang w:val="en-US" w:eastAsia="zh-CN"/>
              </w:rPr>
              <w:t>▲</w:t>
            </w:r>
            <w:r>
              <w:rPr>
                <w:rFonts w:hint="eastAsia" w:ascii="宋体" w:hAnsi="宋体" w:eastAsia="宋体" w:cs="宋体"/>
                <w:kern w:val="0"/>
                <w:lang w:val="en-US" w:eastAsia="zh-CN"/>
              </w:rPr>
              <w:t>软件对接院内集成平台系统，实现扫描病历资料调阅；</w:t>
            </w:r>
          </w:p>
          <w:p>
            <w:pPr>
              <w:pStyle w:val="16"/>
              <w:keepNext w:val="0"/>
              <w:keepLines w:val="0"/>
              <w:numPr>
                <w:ilvl w:val="0"/>
                <w:numId w:val="3"/>
              </w:numPr>
              <w:suppressLineNumbers w:val="0"/>
              <w:spacing w:before="0" w:beforeAutospacing="0" w:after="0" w:afterAutospacing="0"/>
              <w:ind w:left="90" w:leftChars="43" w:right="0" w:firstLine="0" w:firstLineChars="0"/>
              <w:rPr>
                <w:rFonts w:hint="default" w:ascii="宋体" w:hAnsi="宋体" w:eastAsia="宋体" w:cs="宋体"/>
                <w:kern w:val="0"/>
              </w:rPr>
            </w:pPr>
            <w:r>
              <w:rPr>
                <w:rFonts w:hint="eastAsia" w:ascii="宋体" w:hAnsi="宋体" w:eastAsia="宋体" w:cs="宋体"/>
                <w:sz w:val="20"/>
                <w:szCs w:val="20"/>
                <w:lang w:val="en-US" w:eastAsia="zh-CN"/>
              </w:rPr>
              <w:t>▲</w:t>
            </w:r>
            <w:r>
              <w:rPr>
                <w:rFonts w:hint="eastAsia" w:ascii="宋体" w:hAnsi="宋体" w:eastAsia="宋体" w:cs="宋体"/>
                <w:kern w:val="0"/>
              </w:rPr>
              <w:t>建立电子病案库，支持与医院现有信息系统无缝对接；</w:t>
            </w:r>
          </w:p>
          <w:p>
            <w:pPr>
              <w:pStyle w:val="16"/>
              <w:keepNext w:val="0"/>
              <w:keepLines w:val="0"/>
              <w:numPr>
                <w:ilvl w:val="0"/>
                <w:numId w:val="0"/>
              </w:numPr>
              <w:suppressLineNumbers w:val="0"/>
              <w:spacing w:before="0" w:beforeAutospacing="0" w:after="0" w:afterAutospacing="0"/>
              <w:ind w:leftChars="43" w:right="0" w:rightChars="0"/>
              <w:rPr>
                <w:rFonts w:hint="default" w:ascii="宋体" w:hAnsi="宋体" w:eastAsia="宋体" w:cs="宋体"/>
                <w:sz w:val="24"/>
                <w:szCs w:val="24"/>
                <w:lang w:val="en-US" w:eastAsia="zh-CN"/>
              </w:rPr>
            </w:pPr>
            <w:r>
              <w:rPr>
                <w:rFonts w:hint="eastAsia" w:ascii="宋体" w:hAnsi="宋体" w:eastAsia="宋体" w:cs="宋体"/>
                <w:kern w:val="0"/>
                <w:lang w:val="en-US" w:eastAsia="zh-CN"/>
              </w:rPr>
              <w:t>59.</w:t>
            </w:r>
            <w:r>
              <w:rPr>
                <w:rFonts w:hint="eastAsia" w:ascii="宋体" w:hAnsi="宋体" w:eastAsia="宋体" w:cs="宋体"/>
                <w:kern w:val="0"/>
              </w:rPr>
              <w:t>软件免费，不限制客户端；保修期内免费</w:t>
            </w:r>
            <w:r>
              <w:rPr>
                <w:rFonts w:hint="eastAsia" w:ascii="宋体" w:hAnsi="宋体" w:eastAsia="宋体" w:cs="宋体"/>
                <w:kern w:val="0"/>
                <w:lang w:val="en-US" w:eastAsia="zh-CN"/>
              </w:rPr>
              <w:t>维护</w:t>
            </w:r>
            <w:r>
              <w:rPr>
                <w:rFonts w:hint="eastAsia" w:ascii="宋体" w:hAnsi="宋体" w:eastAsia="宋体" w:cs="宋体"/>
                <w:kern w:val="0"/>
              </w:rPr>
              <w:t>，后续维护费用根据实际需求另行协商。</w:t>
            </w: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04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after="0" w:line="480" w:lineRule="exact"/>
              <w:jc w:val="both"/>
              <w:textAlignment w:val="auto"/>
              <w:rPr>
                <w:rFonts w:hint="default" w:ascii="宋体" w:hAnsi="宋体" w:eastAsia="宋体" w:cs="宋体"/>
                <w:sz w:val="24"/>
                <w:szCs w:val="24"/>
                <w:lang w:val="en-US" w:eastAsia="zh-CN"/>
              </w:rPr>
            </w:pPr>
          </w:p>
        </w:tc>
        <w:tc>
          <w:tcPr>
            <w:tcW w:w="85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s="宋体"/>
                <w:sz w:val="24"/>
                <w:szCs w:val="24"/>
                <w:lang w:val="en-US" w:eastAsia="zh-CN"/>
              </w:rPr>
            </w:pPr>
          </w:p>
        </w:tc>
        <w:tc>
          <w:tcPr>
            <w:tcW w:w="74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叁年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2" w:hRule="atLeast"/>
        </w:trPr>
        <w:tc>
          <w:tcPr>
            <w:tcW w:w="1125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80" w:lineRule="exact"/>
              <w:textAlignment w:val="auto"/>
              <w:rPr>
                <w:rFonts w:ascii="宋体" w:hAnsi="宋体" w:eastAsia="宋体"/>
                <w:sz w:val="24"/>
                <w:szCs w:val="24"/>
              </w:rPr>
            </w:pPr>
            <w:r>
              <w:rPr>
                <w:rFonts w:hint="eastAsia" w:ascii="宋体" w:hAnsi="宋体" w:eastAsia="宋体"/>
                <w:sz w:val="24"/>
                <w:szCs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5" w:hRule="atLeast"/>
        </w:trPr>
        <w:tc>
          <w:tcPr>
            <w:tcW w:w="71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sz w:val="24"/>
                <w:szCs w:val="24"/>
              </w:rPr>
            </w:pPr>
            <w:r>
              <w:rPr>
                <w:rFonts w:hint="eastAsia" w:ascii="宋体" w:hAnsi="宋体" w:eastAsia="宋体"/>
                <w:sz w:val="24"/>
                <w:szCs w:val="24"/>
              </w:rPr>
              <w:t>序号</w:t>
            </w:r>
          </w:p>
        </w:tc>
        <w:tc>
          <w:tcPr>
            <w:tcW w:w="45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ascii="宋体" w:hAnsi="宋体" w:eastAsia="宋体"/>
                <w:sz w:val="24"/>
                <w:szCs w:val="24"/>
              </w:rPr>
            </w:pPr>
            <w:r>
              <w:rPr>
                <w:rFonts w:hint="eastAsia" w:ascii="宋体" w:hAnsi="宋体" w:eastAsia="宋体"/>
                <w:sz w:val="24"/>
                <w:szCs w:val="24"/>
              </w:rPr>
              <w:t>商务条款</w:t>
            </w:r>
          </w:p>
        </w:tc>
        <w:tc>
          <w:tcPr>
            <w:tcW w:w="60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ascii="宋体" w:hAnsi="宋体" w:eastAsia="宋体"/>
                <w:sz w:val="24"/>
                <w:szCs w:val="24"/>
              </w:rPr>
            </w:pPr>
            <w:r>
              <w:rPr>
                <w:rFonts w:hint="eastAsia" w:ascii="宋体" w:hAnsi="宋体" w:eastAsia="宋体"/>
                <w:sz w:val="24"/>
                <w:szCs w:val="24"/>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62" w:hRule="atLeast"/>
        </w:trPr>
        <w:tc>
          <w:tcPr>
            <w:tcW w:w="71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sz w:val="24"/>
                <w:szCs w:val="24"/>
              </w:rPr>
            </w:pPr>
            <w:r>
              <w:rPr>
                <w:rFonts w:hint="eastAsia" w:ascii="宋体" w:hAnsi="宋体" w:eastAsia="宋体"/>
                <w:sz w:val="24"/>
                <w:szCs w:val="24"/>
              </w:rPr>
              <w:t>1</w:t>
            </w:r>
          </w:p>
        </w:tc>
        <w:tc>
          <w:tcPr>
            <w:tcW w:w="4518" w:type="dxa"/>
            <w:gridSpan w:val="2"/>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pacing w:line="480" w:lineRule="exact"/>
              <w:jc w:val="center"/>
              <w:textAlignment w:val="auto"/>
              <w:rPr>
                <w:rFonts w:ascii="宋体" w:hAnsi="宋体" w:eastAsia="宋体"/>
                <w:sz w:val="24"/>
              </w:rPr>
            </w:pPr>
            <w:r>
              <w:rPr>
                <w:rFonts w:hint="eastAsia" w:ascii="宋体" w:hAnsi="宋体" w:eastAsia="宋体"/>
                <w:sz w:val="24"/>
              </w:rPr>
              <w:t>报价要求</w:t>
            </w:r>
          </w:p>
        </w:tc>
        <w:tc>
          <w:tcPr>
            <w:tcW w:w="6022" w:type="dxa"/>
            <w:gridSpan w:val="5"/>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FF0000"/>
                <w:kern w:val="2"/>
                <w:sz w:val="21"/>
                <w:szCs w:val="21"/>
                <w:lang w:val="en-US" w:eastAsia="zh-CN" w:bidi="ar-SA"/>
              </w:rPr>
              <w:t>本项目报价为</w:t>
            </w:r>
            <w:r>
              <w:rPr>
                <w:rFonts w:hint="eastAsia" w:ascii="Times New Roman" w:hAnsi="Times New Roman" w:eastAsia="宋体" w:cs="Arial"/>
                <w:color w:val="FF0000"/>
                <w:kern w:val="2"/>
                <w:sz w:val="21"/>
                <w:szCs w:val="21"/>
                <w:lang w:val="en-US" w:eastAsia="zh-CN" w:bidi="ar"/>
              </w:rPr>
              <w:t>每页单价报价</w:t>
            </w:r>
            <w:r>
              <w:rPr>
                <w:rFonts w:hint="eastAsia" w:ascii="宋体" w:hAnsi="宋体" w:eastAsia="宋体" w:cs="宋体"/>
                <w:kern w:val="2"/>
                <w:sz w:val="21"/>
                <w:szCs w:val="21"/>
                <w:lang w:val="en-US" w:eastAsia="zh-CN" w:bidi="ar-SA"/>
              </w:rPr>
              <w:t>，包括但不限于：服务所需的所有设备（含软硬件）投入、随配附件、备品备件、辅助材料、工具、运抵指定地点、人员费用、保险、现场安装、调试及验收的各种费用和售后服务、税金等及其他所有成本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trPr>
        <w:tc>
          <w:tcPr>
            <w:tcW w:w="71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4518" w:type="dxa"/>
            <w:gridSpan w:val="2"/>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pacing w:line="480" w:lineRule="exact"/>
              <w:jc w:val="center"/>
              <w:textAlignment w:val="auto"/>
              <w:rPr>
                <w:rFonts w:hint="default" w:ascii="宋体" w:hAnsi="宋体"/>
                <w:sz w:val="24"/>
                <w:lang w:val="en-US" w:eastAsia="zh-CN"/>
              </w:rPr>
            </w:pPr>
            <w:r>
              <w:rPr>
                <w:rFonts w:hint="eastAsia" w:ascii="宋体" w:hAnsi="宋体"/>
                <w:sz w:val="24"/>
                <w:lang w:val="en-US" w:eastAsia="zh-CN"/>
              </w:rPr>
              <w:t>服务期限</w:t>
            </w:r>
          </w:p>
        </w:tc>
        <w:tc>
          <w:tcPr>
            <w:tcW w:w="6022" w:type="dxa"/>
            <w:gridSpan w:val="5"/>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叁年。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3" w:hRule="atLeast"/>
        </w:trPr>
        <w:tc>
          <w:tcPr>
            <w:tcW w:w="71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sz w:val="24"/>
                <w:szCs w:val="24"/>
                <w:lang w:eastAsia="zh-CN"/>
              </w:rPr>
            </w:pPr>
            <w:r>
              <w:rPr>
                <w:rFonts w:hint="eastAsia" w:ascii="宋体" w:hAnsi="宋体"/>
                <w:sz w:val="24"/>
                <w:szCs w:val="24"/>
                <w:lang w:val="en-US" w:eastAsia="zh-CN"/>
              </w:rPr>
              <w:t>3</w:t>
            </w:r>
          </w:p>
        </w:tc>
        <w:tc>
          <w:tcPr>
            <w:tcW w:w="45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技术服务要求</w:t>
            </w:r>
          </w:p>
        </w:tc>
        <w:tc>
          <w:tcPr>
            <w:tcW w:w="6022" w:type="dxa"/>
            <w:gridSpan w:val="5"/>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成交供应商提供的软件系统及服务成果必须符合国家相关质量和安全标准，相关人员具备国家认可的资质证明。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3" w:hRule="atLeast"/>
        </w:trPr>
        <w:tc>
          <w:tcPr>
            <w:tcW w:w="71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sz w:val="24"/>
                <w:szCs w:val="24"/>
                <w:lang w:val="en-US" w:eastAsia="zh-CN"/>
              </w:rPr>
            </w:pPr>
            <w:r>
              <w:rPr>
                <w:rFonts w:hint="eastAsia" w:ascii="宋体" w:hAnsi="宋体"/>
                <w:sz w:val="24"/>
                <w:szCs w:val="24"/>
                <w:lang w:val="en-US" w:eastAsia="zh-CN"/>
              </w:rPr>
              <w:t>4</w:t>
            </w:r>
          </w:p>
        </w:tc>
        <w:tc>
          <w:tcPr>
            <w:tcW w:w="45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交付地点</w:t>
            </w:r>
          </w:p>
        </w:tc>
        <w:tc>
          <w:tcPr>
            <w:tcW w:w="60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广西中医药大学</w:t>
            </w:r>
            <w:r>
              <w:rPr>
                <w:rFonts w:hint="eastAsia" w:ascii="宋体" w:hAnsi="宋体" w:cs="宋体"/>
                <w:kern w:val="2"/>
                <w:sz w:val="21"/>
                <w:szCs w:val="21"/>
                <w:lang w:val="en-US" w:eastAsia="zh-CN" w:bidi="ar-SA"/>
              </w:rPr>
              <w:t>第二</w:t>
            </w:r>
            <w:r>
              <w:rPr>
                <w:rFonts w:hint="eastAsia" w:ascii="宋体" w:hAnsi="宋体" w:eastAsia="宋体" w:cs="宋体"/>
                <w:kern w:val="2"/>
                <w:sz w:val="21"/>
                <w:szCs w:val="21"/>
                <w:lang w:val="en-US" w:eastAsia="zh-CN" w:bidi="ar-SA"/>
              </w:rPr>
              <w:t>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2" w:hRule="atLeast"/>
        </w:trPr>
        <w:tc>
          <w:tcPr>
            <w:tcW w:w="71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sz w:val="24"/>
                <w:szCs w:val="24"/>
                <w:lang w:val="en-US" w:eastAsia="zh-CN"/>
              </w:rPr>
            </w:pPr>
            <w:r>
              <w:rPr>
                <w:rFonts w:hint="eastAsia" w:ascii="宋体" w:hAnsi="宋体"/>
                <w:sz w:val="24"/>
                <w:szCs w:val="24"/>
                <w:lang w:val="en-US" w:eastAsia="zh-CN"/>
              </w:rPr>
              <w:t>5</w:t>
            </w:r>
          </w:p>
        </w:tc>
        <w:tc>
          <w:tcPr>
            <w:tcW w:w="45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hint="default" w:ascii="宋体" w:hAnsi="宋体" w:eastAsia="宋体" w:cs="Times New Roman"/>
                <w:kern w:val="2"/>
                <w:sz w:val="24"/>
                <w:szCs w:val="24"/>
                <w:lang w:val="en-US" w:eastAsia="zh-CN" w:bidi="ar-SA"/>
              </w:rPr>
            </w:pPr>
            <w:r>
              <w:rPr>
                <w:rFonts w:hint="eastAsia" w:ascii="宋体" w:hAnsi="宋体" w:eastAsia="宋体"/>
                <w:sz w:val="24"/>
              </w:rPr>
              <w:t>付款方式</w:t>
            </w:r>
          </w:p>
        </w:tc>
        <w:tc>
          <w:tcPr>
            <w:tcW w:w="60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服务期内每3个月为一个结算周期，每次结算按结算期内完成的病案数字化加工服务工作量计算服务费，计算公式为：中标单价乘以结算期内实际完成的页数；每个结算期满，乙方就已完成的病案数字化加工服务工作量，向甲方提交服务确认书及付款申请，经甲方代表确认无误后，开具发票，甲方收到发票后20个工作日内结清加工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2" w:hRule="atLeast"/>
        </w:trPr>
        <w:tc>
          <w:tcPr>
            <w:tcW w:w="71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sz w:val="24"/>
                <w:szCs w:val="24"/>
                <w:lang w:eastAsia="zh-CN"/>
              </w:rPr>
            </w:pPr>
            <w:r>
              <w:rPr>
                <w:rFonts w:hint="eastAsia" w:ascii="宋体" w:hAnsi="宋体"/>
                <w:sz w:val="24"/>
                <w:szCs w:val="24"/>
                <w:lang w:val="en-US" w:eastAsia="zh-CN"/>
              </w:rPr>
              <w:t>6</w:t>
            </w:r>
          </w:p>
        </w:tc>
        <w:tc>
          <w:tcPr>
            <w:tcW w:w="45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105" w:leftChars="50" w:right="105" w:rightChars="50"/>
              <w:jc w:val="center"/>
              <w:textAlignment w:val="auto"/>
              <w:rPr>
                <w:rFonts w:hint="default" w:ascii="宋体" w:hAnsi="宋体" w:eastAsia="宋体" w:cs="Times New Roman"/>
                <w:color w:val="FF0000"/>
                <w:kern w:val="2"/>
                <w:sz w:val="24"/>
                <w:szCs w:val="24"/>
                <w:lang w:val="en-US" w:eastAsia="zh-CN" w:bidi="ar-SA"/>
              </w:rPr>
            </w:pPr>
            <w:r>
              <w:rPr>
                <w:rFonts w:hint="eastAsia" w:ascii="宋体" w:hAnsi="宋体" w:eastAsia="宋体"/>
                <w:sz w:val="24"/>
                <w:lang w:val="en-US" w:eastAsia="zh-CN"/>
              </w:rPr>
              <w:t>售后服务保障或维修响应时间要求</w:t>
            </w:r>
          </w:p>
        </w:tc>
        <w:tc>
          <w:tcPr>
            <w:tcW w:w="60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right="0" w:firstLine="210" w:firstLineChars="100"/>
              <w:rPr>
                <w:rFonts w:hint="eastAsia" w:ascii="宋体" w:hAnsi="宋体" w:eastAsia="宋体" w:cs="宋体"/>
                <w:color w:val="FF0000"/>
                <w:kern w:val="0"/>
                <w:sz w:val="21"/>
                <w:szCs w:val="21"/>
                <w:lang w:val="en-US" w:eastAsia="zh-CN"/>
              </w:rPr>
            </w:pPr>
            <w:r>
              <w:rPr>
                <w:rFonts w:hint="eastAsia"/>
                <w:color w:val="FF0000"/>
              </w:rPr>
              <w:t>▲</w:t>
            </w:r>
            <w:r>
              <w:rPr>
                <w:rFonts w:hint="eastAsia" w:ascii="宋体" w:hAnsi="宋体" w:eastAsia="宋体" w:cs="宋体"/>
                <w:color w:val="FF0000"/>
                <w:kern w:val="0"/>
                <w:sz w:val="21"/>
                <w:szCs w:val="21"/>
              </w:rPr>
              <w:t>1.</w:t>
            </w:r>
            <w:r>
              <w:rPr>
                <w:rFonts w:hint="eastAsia" w:ascii="宋体" w:hAnsi="宋体" w:eastAsia="宋体" w:cs="宋体"/>
                <w:color w:val="FF0000"/>
                <w:kern w:val="0"/>
                <w:sz w:val="21"/>
                <w:szCs w:val="21"/>
                <w:lang w:val="en-US" w:eastAsia="zh-CN"/>
              </w:rPr>
              <w:t>质量保修期不低于3年，起始时间从系统验收合格之日起计算；</w:t>
            </w:r>
          </w:p>
          <w:p>
            <w:pPr>
              <w:keepNext w:val="0"/>
              <w:keepLines w:val="0"/>
              <w:suppressLineNumbers w:val="0"/>
              <w:spacing w:before="0" w:beforeAutospacing="0" w:after="0" w:afterAutospacing="0" w:line="400" w:lineRule="exact"/>
              <w:ind w:right="0" w:firstLine="210" w:firstLineChars="1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故障报修响应时间：周一至周五9:00～17:00期间为1小时，若电话、网络无法解决，4小时内到达现场维护；</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210" w:firstLineChars="10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w:t>
            </w:r>
            <w:r>
              <w:rPr>
                <w:rFonts w:hint="eastAsia" w:ascii="宋体" w:hAnsi="宋体" w:eastAsia="宋体" w:cs="宋体"/>
                <w:kern w:val="2"/>
                <w:sz w:val="21"/>
                <w:szCs w:val="21"/>
                <w:lang w:val="en-US" w:eastAsia="zh-CN" w:bidi="ar-SA"/>
              </w:rPr>
              <w:t>在</w:t>
            </w:r>
            <w:r>
              <w:rPr>
                <w:rFonts w:hint="eastAsia" w:ascii="宋体" w:hAnsi="宋体" w:eastAsia="宋体" w:cs="宋体"/>
                <w:sz w:val="21"/>
                <w:szCs w:val="21"/>
              </w:rPr>
              <w:t>质保期</w:t>
            </w:r>
            <w:r>
              <w:rPr>
                <w:rFonts w:hint="eastAsia" w:ascii="宋体" w:hAnsi="宋体" w:eastAsia="宋体" w:cs="宋体"/>
                <w:sz w:val="21"/>
                <w:szCs w:val="21"/>
                <w:lang w:val="en-US" w:eastAsia="zh-CN"/>
              </w:rPr>
              <w:t>/有效期</w:t>
            </w:r>
            <w:r>
              <w:rPr>
                <w:rFonts w:hint="eastAsia" w:ascii="宋体" w:hAnsi="宋体" w:eastAsia="宋体" w:cs="宋体"/>
                <w:kern w:val="2"/>
                <w:sz w:val="21"/>
                <w:szCs w:val="21"/>
                <w:lang w:val="en-US" w:eastAsia="zh-CN" w:bidi="ar-SA"/>
              </w:rPr>
              <w:t>期内，成交供应商应对提供的产品出现的质量及安全问题负责处理解决并承担一切费用</w:t>
            </w:r>
            <w:r>
              <w:rPr>
                <w:rFonts w:hint="eastAsia" w:ascii="宋体" w:hAnsi="宋体" w:eastAsia="宋体" w:cs="宋体"/>
                <w:color w:val="auto"/>
                <w:kern w:val="0"/>
                <w:sz w:val="21"/>
                <w:szCs w:val="21"/>
              </w:rPr>
              <w:t>；</w:t>
            </w:r>
          </w:p>
          <w:p>
            <w:pPr>
              <w:keepNext w:val="0"/>
              <w:keepLines w:val="0"/>
              <w:pageBreakBefore w:val="0"/>
              <w:widowControl w:val="0"/>
              <w:kinsoku/>
              <w:wordWrap/>
              <w:overflowPunct/>
              <w:topLinePunct w:val="0"/>
              <w:autoSpaceDE/>
              <w:autoSpaceDN/>
              <w:bidi w:val="0"/>
              <w:adjustRightInd/>
              <w:spacing w:after="0" w:line="480" w:lineRule="exact"/>
              <w:ind w:right="105" w:rightChars="50" w:firstLine="210" w:firstLineChars="1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.技术支持：提供系统扩充、升级方面的技术支持。</w:t>
            </w:r>
          </w:p>
          <w:p>
            <w:pPr>
              <w:keepNext w:val="0"/>
              <w:keepLines w:val="0"/>
              <w:pageBreakBefore w:val="0"/>
              <w:widowControl w:val="0"/>
              <w:kinsoku/>
              <w:wordWrap/>
              <w:overflowPunct/>
              <w:topLinePunct w:val="0"/>
              <w:autoSpaceDE/>
              <w:autoSpaceDN/>
              <w:bidi w:val="0"/>
              <w:adjustRightInd/>
              <w:spacing w:after="0" w:line="480" w:lineRule="exact"/>
              <w:ind w:right="105" w:rightChars="5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cs="宋体"/>
                <w:kern w:val="2"/>
                <w:sz w:val="21"/>
                <w:szCs w:val="21"/>
                <w:lang w:val="en-US" w:eastAsia="zh-CN" w:bidi="ar-SA"/>
              </w:rPr>
              <w:t>5</w:t>
            </w:r>
            <w:bookmarkStart w:id="0" w:name="_GoBack"/>
            <w:bookmarkEnd w:id="0"/>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免费安装调试，由成交供应商向客户提供免费培训。</w:t>
            </w:r>
          </w:p>
        </w:tc>
      </w:tr>
      <w:tr>
        <w:tblPrEx>
          <w:tblLayout w:type="fixed"/>
          <w:tblCellMar>
            <w:top w:w="0" w:type="dxa"/>
            <w:left w:w="0" w:type="dxa"/>
            <w:bottom w:w="0" w:type="dxa"/>
            <w:right w:w="0" w:type="dxa"/>
          </w:tblCellMar>
        </w:tblPrEx>
        <w:trPr>
          <w:trHeight w:val="404" w:hRule="atLeast"/>
        </w:trPr>
        <w:tc>
          <w:tcPr>
            <w:tcW w:w="71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sz w:val="24"/>
                <w:szCs w:val="24"/>
                <w:lang w:val="en-US" w:eastAsia="zh-CN"/>
              </w:rPr>
            </w:pPr>
            <w:r>
              <w:rPr>
                <w:rFonts w:hint="eastAsia" w:ascii="宋体" w:hAnsi="宋体"/>
                <w:sz w:val="24"/>
                <w:szCs w:val="24"/>
                <w:lang w:val="en-US" w:eastAsia="zh-CN"/>
              </w:rPr>
              <w:t>7</w:t>
            </w:r>
          </w:p>
        </w:tc>
        <w:tc>
          <w:tcPr>
            <w:tcW w:w="45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hint="default" w:ascii="宋体" w:hAnsi="宋体" w:eastAsia="宋体" w:cs="Times New Roman"/>
                <w:color w:val="FF0000"/>
                <w:kern w:val="2"/>
                <w:sz w:val="24"/>
                <w:szCs w:val="24"/>
                <w:lang w:val="en-US" w:eastAsia="zh-CN" w:bidi="ar-SA"/>
              </w:rPr>
            </w:pPr>
            <w:r>
              <w:rPr>
                <w:rFonts w:hint="eastAsia" w:ascii="宋体" w:hAnsi="宋体" w:eastAsia="宋体" w:cs="Times New Roman"/>
                <w:sz w:val="24"/>
                <w:lang w:val="en-US" w:eastAsia="zh-CN"/>
              </w:rPr>
              <w:t>合同签订时间</w:t>
            </w:r>
          </w:p>
        </w:tc>
        <w:tc>
          <w:tcPr>
            <w:tcW w:w="60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自中标通知书发出之日起</w:t>
            </w:r>
            <w:r>
              <w:rPr>
                <w:rFonts w:hint="eastAsia" w:ascii="宋体" w:hAnsi="宋体" w:eastAsia="宋体" w:cs="宋体"/>
                <w:color w:val="FF0000"/>
                <w:kern w:val="2"/>
                <w:sz w:val="21"/>
                <w:szCs w:val="21"/>
                <w:lang w:val="en-US" w:eastAsia="zh-CN" w:bidi="ar-SA"/>
              </w:rPr>
              <w:t>25</w:t>
            </w:r>
            <w:r>
              <w:rPr>
                <w:rFonts w:hint="eastAsia" w:ascii="宋体" w:hAnsi="宋体" w:eastAsia="宋体" w:cs="宋体"/>
                <w:kern w:val="2"/>
                <w:sz w:val="21"/>
                <w:szCs w:val="21"/>
                <w:lang w:val="en-US" w:eastAsia="zh-CN" w:bidi="ar-SA"/>
              </w:rPr>
              <w:t>日内；</w:t>
            </w:r>
          </w:p>
        </w:tc>
      </w:tr>
    </w:tbl>
    <w:p>
      <w:pPr>
        <w:rPr>
          <w:rFonts w:hint="eastAsia"/>
          <w:lang w:val="en-US" w:eastAsia="zh-CN"/>
        </w:rPr>
      </w:pPr>
    </w:p>
    <w:sectPr>
      <w:footerReference r:id="rId3" w:type="default"/>
      <w:pgSz w:w="11906" w:h="16838"/>
      <w:pgMar w:top="1418" w:right="1304" w:bottom="1418"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69A4246"/>
    <w:multiLevelType w:val="multilevel"/>
    <w:tmpl w:val="469A4246"/>
    <w:lvl w:ilvl="0" w:tentative="0">
      <w:start w:val="1"/>
      <w:numFmt w:val="decimal"/>
      <w:lvlText w:val="%1."/>
      <w:lvlJc w:val="left"/>
      <w:pPr>
        <w:ind w:left="1129"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7B107498"/>
    <w:multiLevelType w:val="multilevel"/>
    <w:tmpl w:val="7B107498"/>
    <w:lvl w:ilvl="0" w:tentative="0">
      <w:start w:val="2"/>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7B"/>
    <w:rsid w:val="0001605E"/>
    <w:rsid w:val="0003234C"/>
    <w:rsid w:val="000647A9"/>
    <w:rsid w:val="00097BFC"/>
    <w:rsid w:val="000B19C9"/>
    <w:rsid w:val="000C0D95"/>
    <w:rsid w:val="001542DE"/>
    <w:rsid w:val="00156E3B"/>
    <w:rsid w:val="001A4A98"/>
    <w:rsid w:val="0022246F"/>
    <w:rsid w:val="00237F15"/>
    <w:rsid w:val="00254C31"/>
    <w:rsid w:val="00270C6F"/>
    <w:rsid w:val="0027766B"/>
    <w:rsid w:val="002A45EC"/>
    <w:rsid w:val="002A699C"/>
    <w:rsid w:val="003035AC"/>
    <w:rsid w:val="003119A3"/>
    <w:rsid w:val="00354F8C"/>
    <w:rsid w:val="00361A94"/>
    <w:rsid w:val="00366FAF"/>
    <w:rsid w:val="00371CB4"/>
    <w:rsid w:val="00387217"/>
    <w:rsid w:val="003929F0"/>
    <w:rsid w:val="003F5EFF"/>
    <w:rsid w:val="0043561E"/>
    <w:rsid w:val="0046795D"/>
    <w:rsid w:val="00474952"/>
    <w:rsid w:val="005234EF"/>
    <w:rsid w:val="00541D40"/>
    <w:rsid w:val="005C3006"/>
    <w:rsid w:val="005E2FAA"/>
    <w:rsid w:val="00603E1C"/>
    <w:rsid w:val="0068323E"/>
    <w:rsid w:val="006B3921"/>
    <w:rsid w:val="006C7DE4"/>
    <w:rsid w:val="00703881"/>
    <w:rsid w:val="00723A00"/>
    <w:rsid w:val="00743E7A"/>
    <w:rsid w:val="00762345"/>
    <w:rsid w:val="007E271C"/>
    <w:rsid w:val="008156F9"/>
    <w:rsid w:val="00826EAE"/>
    <w:rsid w:val="00830820"/>
    <w:rsid w:val="008727DD"/>
    <w:rsid w:val="00882FF6"/>
    <w:rsid w:val="00887553"/>
    <w:rsid w:val="008A7A96"/>
    <w:rsid w:val="008B70ED"/>
    <w:rsid w:val="008E2310"/>
    <w:rsid w:val="00902244"/>
    <w:rsid w:val="0091537B"/>
    <w:rsid w:val="00956EBA"/>
    <w:rsid w:val="00977858"/>
    <w:rsid w:val="009B35A1"/>
    <w:rsid w:val="009B4CCA"/>
    <w:rsid w:val="009C3025"/>
    <w:rsid w:val="00AA05E1"/>
    <w:rsid w:val="00AA769C"/>
    <w:rsid w:val="00AB137B"/>
    <w:rsid w:val="00AC7120"/>
    <w:rsid w:val="00AF7468"/>
    <w:rsid w:val="00B30244"/>
    <w:rsid w:val="00B56834"/>
    <w:rsid w:val="00B7036E"/>
    <w:rsid w:val="00BD12FD"/>
    <w:rsid w:val="00BE3A17"/>
    <w:rsid w:val="00C0010D"/>
    <w:rsid w:val="00C05DBA"/>
    <w:rsid w:val="00C6538A"/>
    <w:rsid w:val="00C65C75"/>
    <w:rsid w:val="00C66F17"/>
    <w:rsid w:val="00C767EB"/>
    <w:rsid w:val="00CA1CA1"/>
    <w:rsid w:val="00CB06D7"/>
    <w:rsid w:val="00CB48AE"/>
    <w:rsid w:val="00D172E6"/>
    <w:rsid w:val="00D505F1"/>
    <w:rsid w:val="00D570F2"/>
    <w:rsid w:val="00D5784B"/>
    <w:rsid w:val="00DB6808"/>
    <w:rsid w:val="00DD5659"/>
    <w:rsid w:val="00DF6DB2"/>
    <w:rsid w:val="00E03C55"/>
    <w:rsid w:val="00E13053"/>
    <w:rsid w:val="00EB4E39"/>
    <w:rsid w:val="00EB61CB"/>
    <w:rsid w:val="00ED28CC"/>
    <w:rsid w:val="00F011CE"/>
    <w:rsid w:val="00F16E1D"/>
    <w:rsid w:val="00F279BB"/>
    <w:rsid w:val="00F427B9"/>
    <w:rsid w:val="00F7415B"/>
    <w:rsid w:val="030A3F10"/>
    <w:rsid w:val="05592686"/>
    <w:rsid w:val="0AC45255"/>
    <w:rsid w:val="14D31299"/>
    <w:rsid w:val="25715DB2"/>
    <w:rsid w:val="308E17E0"/>
    <w:rsid w:val="33113972"/>
    <w:rsid w:val="3ABC58D9"/>
    <w:rsid w:val="42BF482A"/>
    <w:rsid w:val="46BB5D5F"/>
    <w:rsid w:val="48606F92"/>
    <w:rsid w:val="50CA7BF2"/>
    <w:rsid w:val="5ACC45D3"/>
    <w:rsid w:val="6044545B"/>
    <w:rsid w:val="64740A1C"/>
    <w:rsid w:val="671418FD"/>
    <w:rsid w:val="684B6EAE"/>
    <w:rsid w:val="69453E57"/>
    <w:rsid w:val="6AAD6A36"/>
    <w:rsid w:val="6B6F402C"/>
    <w:rsid w:val="6B882FFF"/>
    <w:rsid w:val="6E536E6E"/>
    <w:rsid w:val="735F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alloon Text"/>
    <w:basedOn w:val="1"/>
    <w:link w:val="15"/>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paragraph" w:styleId="12">
    <w:name w:val="List Paragraph"/>
    <w:basedOn w:val="1"/>
    <w:qFormat/>
    <w:uiPriority w:val="99"/>
    <w:pPr>
      <w:ind w:firstLine="420" w:firstLineChars="200"/>
    </w:pPr>
  </w:style>
  <w:style w:type="paragraph" w:customStyle="1" w:styleId="13">
    <w:name w:val="正文1"/>
    <w:basedOn w:val="1"/>
    <w:qFormat/>
    <w:uiPriority w:val="0"/>
    <w:pPr>
      <w:spacing w:line="318" w:lineRule="atLeast"/>
      <w:ind w:left="369" w:firstLine="369"/>
    </w:pPr>
    <w:rPr>
      <w:rFonts w:ascii="宋体" w:hAnsi="Times New Roman" w:eastAsia="宋体" w:cs="Times New Roman"/>
    </w:rPr>
  </w:style>
  <w:style w:type="character" w:customStyle="1" w:styleId="14">
    <w:name w:val="fontstyle01"/>
    <w:basedOn w:val="9"/>
    <w:uiPriority w:val="0"/>
    <w:rPr>
      <w:color w:val="000000"/>
      <w:sz w:val="24"/>
      <w:szCs w:val="24"/>
    </w:rPr>
  </w:style>
  <w:style w:type="character" w:customStyle="1" w:styleId="15">
    <w:name w:val="批注框文本 Char"/>
    <w:basedOn w:val="9"/>
    <w:link w:val="5"/>
    <w:qFormat/>
    <w:uiPriority w:val="0"/>
    <w:rPr>
      <w:rFonts w:asciiTheme="minorHAnsi" w:hAnsiTheme="minorHAnsi" w:eastAsiaTheme="minorEastAsia" w:cstheme="minorBidi"/>
      <w:kern w:val="2"/>
      <w:sz w:val="18"/>
      <w:szCs w:val="18"/>
    </w:rPr>
  </w:style>
  <w:style w:type="paragraph" w:customStyle="1" w:styleId="16">
    <w:name w:val="List Paragraph_40b67d30-6b8b-4697-8f49-97c11e174001"/>
    <w:basedOn w:val="1"/>
    <w:qFormat/>
    <w:uiPriority w:val="0"/>
    <w:pPr>
      <w:ind w:firstLine="420" w:firstLineChars="200"/>
    </w:pPr>
    <w:rPr>
      <w:rFonts w:ascii="Calibri" w:hAnsi="Calibri" w:eastAsia="宋体" w:cs="宋体"/>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3</Pages>
  <Words>511</Words>
  <Characters>2917</Characters>
  <Lines>24</Lines>
  <Paragraphs>6</Paragraphs>
  <TotalTime>2</TotalTime>
  <ScaleCrop>false</ScaleCrop>
  <LinksUpToDate>false</LinksUpToDate>
  <CharactersWithSpaces>3422</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2025-03-04T13:07:00Z</dcterms:created>
  <dc:creator>admin</dc:creator>
  <cp:lastModifiedBy>韦善译</cp:lastModifiedBy>
  <cp:lastPrinted>2025-02-12T03:26:00Z</cp:lastPrinted>
  <dcterms:modified xsi:type="dcterms:W3CDTF">2026-06-30T01:27:27Z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B445C1BB95EF45AB86AFA93D98DF1EB1</vt:lpwstr>
  </property>
  <property fmtid="{D5CDD505-2E9C-101B-9397-08002B2CF9AE}" pid="4" name="KSOTemplateDocerSaveRecord">
    <vt:lpwstr>eyJoZGlkIjoiNzAwOTY2NDQ2MzMxOWFmMTA5YjhmNWM4MWE2NjgzNjQiLCJ1c2VySWQiOiIyMDczOTE5ODIifQ==</vt:lpwstr>
  </property>
</Properties>
</file>