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3471">
      <w:pPr>
        <w:spacing w:line="360" w:lineRule="auto"/>
        <w:ind w:firstLine="88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采购需求</w:t>
      </w:r>
    </w:p>
    <w:p w14:paraId="4ACA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（百色市田阳区中医医院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经济责任审计服务项目）</w:t>
      </w:r>
    </w:p>
    <w:p w14:paraId="4A17FA69">
      <w:pPr>
        <w:pStyle w:val="2"/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一、审计对象、期间以及收入资产规模</w:t>
      </w:r>
    </w:p>
    <w:p w14:paraId="3AD27886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（一）审计对象：百色市田阳区中医医院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原负责人经济责任履行情况。</w:t>
      </w:r>
    </w:p>
    <w:p w14:paraId="77DAA20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（二）审计期间：百色市田阳区中医医院原负责人任期：2015年12月至2025年4月。</w:t>
      </w:r>
    </w:p>
    <w:p w14:paraId="21245399">
      <w:pPr>
        <w:numPr>
          <w:ilvl w:val="0"/>
          <w:numId w:val="0"/>
        </w:numPr>
        <w:spacing w:line="360" w:lineRule="auto"/>
        <w:ind w:left="420" w:leftChars="0" w:firstLine="300" w:firstLineChars="1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（三）收入资产规模（百色市田阳区中医医院收入、资产规模具体数值报名后获取）</w:t>
      </w:r>
    </w:p>
    <w:p w14:paraId="3FF5F06B">
      <w:pPr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二、审计内容：</w:t>
      </w:r>
    </w:p>
    <w:p w14:paraId="0F8BC5C5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（一）政策执行与履职情况：执行国家财经、医保、价格、药品耗材、政府采购等政策情况；落实公立医院改革、预算绩效管理、政府过紧日子要求情况。</w:t>
      </w:r>
    </w:p>
    <w:p w14:paraId="0AFDBA23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（二）重大经济决策：基建工程、大型设备购置、对外合作、对外投资、借款担保、资产处置等决策程序、合规性与效益；“三重一大”决策制度执行，会议纪要、立项、审批、招标、合同、资金支付闭环核查。</w:t>
      </w:r>
    </w:p>
    <w:p w14:paraId="431B938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财务收支与预算管理：预算编制、执行、决算真实完整合规；医疗收入、财政补助、科研经费、其他收入应缴尽缴、全额入账，无账外账、“小金库”；支出合规，无虚列支出、套取资金、违规发放津补贴、超标准开支。</w:t>
      </w:r>
    </w:p>
    <w:p w14:paraId="5DA8407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（四）国有资产管理：资产购置、入账、折旧、处置、盘点规范，账实相符；房产、土地、车辆、大型设备、对外投资等管理与收益情况。</w:t>
      </w:r>
    </w:p>
    <w:p w14:paraId="6A8E0A4F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（五）药耗设备与采购管理：药品、耗材、设备采购流程合规，阳光采购、合同履约、付款、库存管理；有无违规采购、商业贿赂风险、利益输送问题。</w:t>
      </w:r>
    </w:p>
    <w:p w14:paraId="285A90D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（六）基建与工程项目：立项、可研、概算、招标、施工、签证变更、结算、资金支付全过程审计；严查高估冒算、违规签证、超概算、超工期。</w:t>
      </w:r>
    </w:p>
    <w:p w14:paraId="01ADF32A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（七）医保基金与收费管理：医疗收费合规，有分解收费、重复收费、超标准收费。医保结算真实，无欺诈骗保、违规串换项目。</w:t>
      </w:r>
    </w:p>
    <w:p w14:paraId="67CAB639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（八）内部控制与风险管理：财务、采购、资产、基建、人事、信息系统内控健全性与执行有效性。</w:t>
      </w:r>
    </w:p>
    <w:p w14:paraId="55B418E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（九）风险识别、问题整改、追责问责落实情况；</w:t>
      </w:r>
    </w:p>
    <w:p w14:paraId="6DC37223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（十）以往审计、巡视、纪检、财政监督发现问题的整改情况。</w:t>
      </w:r>
    </w:p>
    <w:p w14:paraId="022B634C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（十一）医院要求纳入的其他专项事项。</w:t>
      </w:r>
    </w:p>
    <w:p w14:paraId="66982B8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三、审计工作要求</w:t>
      </w:r>
    </w:p>
    <w:p w14:paraId="4D09B8C6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（一）成立专项审计组，驻场开展工作，服从医院统一协调。</w:t>
      </w:r>
    </w:p>
    <w:p w14:paraId="28E386B4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（二）严格保密，不得泄露涉密资料、患者信息、人事及纪检信息。</w:t>
      </w:r>
    </w:p>
    <w:p w14:paraId="4B48497A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（三）定期沟通，重大问题及时汇报，初稿征求意见后出具终稿。</w:t>
      </w:r>
    </w:p>
    <w:p w14:paraId="4D1CBE5D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（四）配合医院复核、质询及整改督导。</w:t>
      </w:r>
    </w:p>
    <w:p w14:paraId="42FF3609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四、实施方案要求</w:t>
      </w:r>
    </w:p>
    <w:p w14:paraId="68E91B77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中标人须在进场前提交经济责任审计实施方案，内容包括：审计目标、审计范围、审计内容、审计重点、审计程序、人员配置、时间安排、质量控制、工作成果、沟通机制等，经采购人审核通过后方可实施。</w:t>
      </w:r>
    </w:p>
    <w:p w14:paraId="3C1AA40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五、成果提交要求</w:t>
      </w:r>
    </w:p>
    <w:p w14:paraId="756BC8C4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（一）按要求分别出具百色市田阳区中医医院经济责任审计报告。</w:t>
      </w:r>
      <w:bookmarkStart w:id="0" w:name="_GoBack"/>
      <w:bookmarkEnd w:id="0"/>
    </w:p>
    <w:p w14:paraId="28965ED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（二）报告内容包括：基本情况、审计依据、审计范围、履职评价、审计发现、问题定性、整改建议、审计结论等。</w:t>
      </w:r>
    </w:p>
    <w:p w14:paraId="36D37E8E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（三）提供纸质版（签章齐全）及电子版文档，按采购人指定份数、时间、格式提交。</w:t>
      </w:r>
    </w:p>
    <w:p w14:paraId="217C8ECB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 若因上级检查、整改、政策调整需补充、修改、完善报告，中标人须无条件配合完成。</w:t>
      </w:r>
    </w:p>
    <w:p w14:paraId="641689F8">
      <w:pPr>
        <w:pStyle w:val="2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六、服务时限</w:t>
      </w:r>
    </w:p>
    <w:p w14:paraId="7B1FFAE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自合同签订之日起40日内，成交人须完成全部审计工作，并按规定格式和要求出具正式审计成果及审计报告。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成交人自正式审计报告出具当日起计180日内，持续提供业务答疑、问题解释、协助对接、配合主管部门核查等相关后续配套工作。</w:t>
      </w:r>
    </w:p>
    <w:p w14:paraId="38A13203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七、其他要求</w:t>
      </w:r>
    </w:p>
    <w:p w14:paraId="611328DD">
      <w:pPr>
        <w:numPr>
          <w:ilvl w:val="0"/>
          <w:numId w:val="0"/>
        </w:numPr>
        <w:spacing w:line="360" w:lineRule="auto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 xml:space="preserve">  （一）本次审计服务涉及南宁市外现场工作，报价为总价包干，包含审计服务费、人员薪酬、城市间交通、驻地食宿、现场办公、耗材、差旅补贴等所有相关费用，采购人不再承担任何形式的额外支出。</w:t>
      </w:r>
    </w:p>
    <w:p w14:paraId="44E18F2A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（二） 本项目所有审计成果知识产权归采购人所有。</w:t>
      </w:r>
    </w:p>
    <w:p w14:paraId="2438F818">
      <w:pPr>
        <w:numPr>
          <w:ilvl w:val="0"/>
          <w:numId w:val="0"/>
        </w:numPr>
        <w:spacing w:line="360" w:lineRule="auto"/>
        <w:ind w:firstLine="300" w:firstLineChars="1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1725F31-F817-4C87-914B-E5A745202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440F"/>
    <w:rsid w:val="0F62660F"/>
    <w:rsid w:val="13D3503D"/>
    <w:rsid w:val="19792D0C"/>
    <w:rsid w:val="1F0611D0"/>
    <w:rsid w:val="1FDB4CA6"/>
    <w:rsid w:val="235F418A"/>
    <w:rsid w:val="25950C86"/>
    <w:rsid w:val="2BBD3479"/>
    <w:rsid w:val="2C2A561B"/>
    <w:rsid w:val="410A19BD"/>
    <w:rsid w:val="46FC0C77"/>
    <w:rsid w:val="49E74A31"/>
    <w:rsid w:val="567165CD"/>
    <w:rsid w:val="6ABB336D"/>
    <w:rsid w:val="6B5F2837"/>
    <w:rsid w:val="7122571D"/>
    <w:rsid w:val="78054A22"/>
    <w:rsid w:val="7B72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1360</Words>
  <Characters>1369</Characters>
  <Lines>0</Lines>
  <Paragraphs>0</Paragraphs>
  <TotalTime>3</TotalTime>
  <ScaleCrop>false</ScaleCrop>
  <LinksUpToDate>false</LinksUpToDate>
  <CharactersWithSpaces>1378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2026-03-11T00:10:00Z</dcterms:created>
  <dc:creator>Administrator</dc:creator>
  <cp:lastModifiedBy>珊珊</cp:lastModifiedBy>
  <cp:lastPrinted>2026-04-23T09:26:00Z</cp:lastPrinted>
  <dcterms:modified xsi:type="dcterms:W3CDTF">2026-04-24T09:04:10Z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65AE3562C4E44218993D1DFBEDA5D282_12</vt:lpwstr>
  </property>
</Properties>
</file>