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广西中医药大学第二附属医院</w:t>
      </w:r>
    </w:p>
    <w:p>
      <w:pPr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中医医师规范化培训实践技能考核基地（凤岭南院区）一体化建设项目采购需求</w:t>
      </w:r>
    </w:p>
    <w:p>
      <w:pPr>
        <w:outlineLvl w:val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一、项目概况</w:t>
      </w:r>
    </w:p>
    <w:p>
      <w:pPr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szCs w:val="24"/>
        </w:rPr>
        <w:t>本项目为中医医师规范化培训实践技能考核基地（凤岭南院区）一体化建设项目，建设单位为广西中医药大学第二附属医院。建设内容包含硬件设备采购及安装、软件系统开发及部署。硬件设备包括球形网络摄像机、半球网络摄像机、拾音器、吸顶音箱、平板电脑、门口电子门牌、智能门禁、无线AP等；软件系统包括技能培训考试（OSCE）系统。要求签订合同后</w:t>
      </w:r>
      <w:r>
        <w:rPr>
          <w:rFonts w:hint="eastAsia" w:cs="宋体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szCs w:val="24"/>
        </w:rPr>
        <w:t>个工作日内完成安装调试并交付使用。</w:t>
      </w:r>
    </w:p>
    <w:p>
      <w:pPr>
        <w:outlineLvl w:val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二、技术参数及其他要求</w:t>
      </w:r>
    </w:p>
    <w:tbl>
      <w:tblPr>
        <w:tblStyle w:val="37"/>
        <w:tblW w:w="1417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"/>
        <w:gridCol w:w="1215"/>
        <w:gridCol w:w="1208"/>
        <w:gridCol w:w="7101"/>
        <w:gridCol w:w="615"/>
        <w:gridCol w:w="540"/>
        <w:gridCol w:w="863"/>
        <w:gridCol w:w="1096"/>
        <w:gridCol w:w="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43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246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设备名称</w:t>
            </w:r>
          </w:p>
        </w:tc>
        <w:tc>
          <w:tcPr>
            <w:tcW w:w="1208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品牌及型号</w:t>
            </w: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技术参数</w:t>
            </w:r>
          </w:p>
        </w:tc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540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数量</w:t>
            </w:r>
          </w:p>
        </w:tc>
        <w:tc>
          <w:tcPr>
            <w:tcW w:w="863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单价</w:t>
            </w:r>
          </w:p>
        </w:tc>
        <w:tc>
          <w:tcPr>
            <w:tcW w:w="1096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金额</w:t>
            </w: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10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一、软件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10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软件部分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技能培训考试（OSCE）系统</w:t>
            </w:r>
          </w:p>
        </w:tc>
        <w:tc>
          <w:tcPr>
            <w:tcW w:w="1208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排考计划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1.排考设置：满足考试与竞赛模式下的单站及多站式实践技能场景。支持临时变更考试日期，可维护多种考试类型，包括日常技能考、出科技能考、年度技能考、结业技能考等；支持智能化自动排考，支持考生同进同出考试模式，能动态设置开设的考站数量和参数，能根据考生数量、考站数量、考官数量实时动态生成新的排考计划，能计算出考试计划完成时间。支持排考后，临时在考站中插入考生进行考试评分，考生依次排序。（需提供系统截图佐证材料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2.支持排考后，临时在考站中插入考生进行考试评分，考生依次排序。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3.评分设置：支持设置各个考官的评分权重，支持多位考官对同一考生同时进行评分功能。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4.入场签到：支持开启入场签到功能，开启后需考生现场手写签到，方可进入考试轮转；支持设置考试轮转顺序。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5.考程管理：支持查看考试过程中相关考生、考官的考试进展，包括进度、实时成绩、预警统计等；支持配置预警信息功能；支持查看某考官/考生的具体明细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▲6.支持关联AI-VSP（心理咨询考站），可调用心理训练SP病人用于考试。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随时考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1.支持录入考生信息，无需进行排考，生成考试后，先到先考的考试模式。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▲2.支持无需提前录入考生信息，考官检索考生姓名后，进行先到先考的考试。（需提供系统截图佐证材料）</w:t>
            </w:r>
          </w:p>
          <w:p>
            <w:pPr>
              <w:numPr>
                <w:ilvl w:val="0"/>
                <w:numId w:val="7"/>
              </w:num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支持出科前3天自动发起/手动发起出科考试类型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  <w:t>考站管理</w:t>
            </w:r>
          </w:p>
          <w:p>
            <w:pPr>
              <w:numPr>
                <w:ilvl w:val="0"/>
                <w:numId w:val="8"/>
              </w:num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支持内部考站、外部考站（病房）、虚拟考站（病例考站），支持内部考站维护默认的考试科目功能。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  <w:t>考核内容管理</w:t>
            </w:r>
          </w:p>
          <w:p>
            <w:pPr>
              <w:numPr>
                <w:ilvl w:val="0"/>
                <w:numId w:val="9"/>
              </w:num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对不同的考核内容，例如：体格检查，进行整体管理。</w:t>
            </w:r>
          </w:p>
          <w:p>
            <w:pPr>
              <w:pStyle w:val="2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  <w:t>考题管理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1.可设置考试的题目，并且支持在不同的考试考站中添加对应的考题。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  <w:t>成绩管理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1.平均分：支持本场考试的平均分查看，不同考站、不同考核内容的平均分展示；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2.导出格式：支持评分结果多种导出格式功能，支持多考生成绩导出、单考生多评分表导出、单考生评分表明细表导出。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3.低分预警：支持低分成绩预警功能；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4.均分差预警：支持实时查询考官评分的均分差功能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5.考生成绩详情：支持展示考生的考试明细详情、评分详情展示，且支持导出考试总成绩、考生成绩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6.实时统计：支持考生成绩的实时统计；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7.评分分类雷达图分析：支持对考试成绩不同评分表的评分类别整体雷达图分析。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8.考试分析导出：考生成绩的平均分查看、成绩预警、成绩分析，支持excel、PDF格式成绩导出。支持整场考试整体详情分析。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▲9.系统具备与“国家中医药管理局中医住院医师规范化培训过程管理平台”进行出科成绩数据上报的能力。（需提供系统截图佐证材料）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  <w:t>科目管理</w:t>
            </w:r>
          </w:p>
          <w:p>
            <w:pPr>
              <w:numPr>
                <w:ilvl w:val="0"/>
                <w:numId w:val="10"/>
              </w:num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支持动态配置不同的考试科目，并支持同一个科目可用于多个学科的多场考试。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  <w:t>房间管理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支持添加并管理房间信息，设置房间作为考站。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  <w:t>评分表管理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1.支持维护和管理评分表库。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▲2.支持单次批量导入不少于10个评分表功能。（需提供系统截图佐证材料）</w:t>
            </w:r>
          </w:p>
          <w:p>
            <w:pPr>
              <w:numPr>
                <w:ilvl w:val="0"/>
                <w:numId w:val="10"/>
              </w:numPr>
              <w:spacing w:after="0"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支持对于不同的评分分类类别进行整体管理。</w:t>
            </w:r>
          </w:p>
          <w:p>
            <w:pPr>
              <w:pStyle w:val="2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  <w:t>数据驾驶舱</w:t>
            </w:r>
          </w:p>
          <w:p>
            <w:pPr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支持数据驾驶舱功能，进行实时显示考试中相关的进度情况。</w:t>
            </w:r>
          </w:p>
          <w:p>
            <w:pPr>
              <w:pStyle w:val="2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  <w:t>数字教材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▲1.三基知识库包需含临床医学不少于52门数字化教材供学员学习。（需提供系统截图佐证材料）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2.临床数据库需包含疾病数据库、药品数据库、手术学数据库、辅助检查库、循证证据库、疾病进展库、手术图谱库、医保药品库、临床操作规范库等不少于9个数据库供学员学使用；支持跨库智能搜索，可快速定位所查知识点。（需提供系统截图佐证材料）</w:t>
            </w:r>
          </w:p>
          <w:p>
            <w:pPr>
              <w:pStyle w:val="2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  <w:t>电子签到</w:t>
            </w:r>
          </w:p>
          <w:p>
            <w:pPr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支持既定考生现场电子签到，签到后即可进入排考队列；支持管理员操作异常签到功能，剔除非法签到人员。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lang w:eastAsia="en-US" w:bidi="ar-SA"/>
              </w:rPr>
              <w:t>手持评分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1.支持使用PAD等电子设备进行移动式手持评分功能，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▲2.支持多张评分表相互切换选择评分表评分。（需提供系统截图佐证材料）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3.支持按日期和权限过滤显示提醒考试进行功能，支持缺考提醒、跳过提醒功能。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4.评分计划支持在PAD等手持设备上显示考试计划、考生计划、评分计划功能。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5.支持在PAD等手持设备上考试过程中的倒计时提醒和超时提醒功能。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6.支持在PAD等手持设备上签名，并能同步到数据库中，同步显示在导出的评分表中。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7.支持多人多角色同时使用PAD等手持设备对同一个考生进行评分功能。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8.支持学员现场电子随机抽卷功能。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9.支持考生未到场时，跳过当前考生功能。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10．支持评分界面显示临床场景相关信息。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11.支持评分界面显示考核要求相关信息。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12.支持考官评分备注功能。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学员考试成绩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1.支持学员在手机端查询考试成绩。</w:t>
            </w:r>
          </w:p>
        </w:tc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套</w:t>
            </w:r>
          </w:p>
        </w:tc>
        <w:tc>
          <w:tcPr>
            <w:tcW w:w="540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10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二、硬件部分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球形网络摄像机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传感器类型：≥1/2.7英寸 Progressive Scan CMOS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最大分辨率：≥2560×1440@30fps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视频压缩标准：支持H.265、H.264、MJPEG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镜头焦距：2.8~6mm，支持≥2倍光学变倍，≥16倍数字变倍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视场角：100°~45°（广角~望远）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最低照度：彩色≥0.05Lux（F1.8），黑白≥0.005Lux（F1.8）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宽动态范围：≥120dB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红外照射距离：≥30m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3D数字降噪：支持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强光抑制：支持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智能侦测：支持区域入侵侦测、越界侦测、移动侦测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断网续传：支持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云台旋转范围：水平≥350°，垂直0°~90°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预置位数量：≥300个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巡航扫描：≥8条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3D定位功能：支持鼠标框选目标快速定位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音频：内置麦克风及扬声器，支持双向语音对讲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18. 报警接口：≥1路报警输入，≥1路报警输出，支持报警联动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19. 存储扩展：支持Micro SD卡，最大≥256GB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20. 网络接口：RJ45，自适应10M/100M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21. 供电方式：支持PoE+（802.3at）及DC12V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22. 设备功耗：≤12W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23. 防护等级：≥IP54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24. 防雷等级：≥4000V防雷、防浪涌、防突波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25. 工作温度：-10°C~50°C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26. 工作湿度：≤90%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半球网络摄像机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传感器类型：≥1/3英寸 Progressive Scan CMOS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最高分辨率：≥2688×1520@25fps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视频压缩标准：主码流支持H.265/H.264，子码流支持MJPEG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镜头焦距：2.8mm/4mm/6mm/8mm可选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最低照度：彩色≥0.005Lux（F1.2），黑白0Lux with IR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宽动态范围：≥120dB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背光补偿：支持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强光抑制：支持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3D数字降噪：支持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红外照射距离：≥30m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防补光过曝：支持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智能侦测：支持≥10项事件检测，≥2项异常检测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ROI感兴趣区域增强编码：支持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音频：内置麦克风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网络接口：RJ45，自适应10M/100M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供电方式：DC12V或PoE（802.3af）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设备功耗：≤6.5W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18. 防护等级：≥IP66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19. 工作温度：-30°C~60°C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20. 工作湿度：≤95%（无凝结）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拾音器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麦克风类型：高灵敏度全指向驻极体麦克风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指向特性：全指向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拾音范围：0~5m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灵敏度：≥-32dB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信噪比：≥90dB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频率响应：20Hz~20kHz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动态范围：0dB~90dB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最大承受音压：≥120dBSPL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输出信号幅度：≥2.5Vpp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输出阻抗：600Ω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接口类型：LINE OUT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音频传输距离：≥500m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采样率：8kHz/16kHz/32kHz可选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降噪功能：支持数字降噪，自适应调节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音量调节：支持软件调节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供电方式：支持DC12V供电、集中供电、摄像机供电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设备功耗：≤0.1W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18. 保护电路：雷击保护、电源极性反转保护、静电防护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19. 安装方式：支持吸顶装、壁装、桌面装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20. 工作温度：-10°C~50°C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吸顶音箱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类型：一体化吸顶式网络音箱，集网络音频解码、功放、扬声器于一体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额定功率：≥3W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扬声器单元：≥5英寸全频喇叭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灵敏度：≥93dB（1m，1W）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最大声压级：≥97dBSPL（1m）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频率响应：300Hz~15kHz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信噪比：≥82dB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音频编码：支持G.711ulaw、G.711alaw、MP3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处理器：高速工业级双核芯片，内置NOR Flash+EMMC双存储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定时任务：支持≥60个定时任务，支持隔天续播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存储空间：内置≥1GB存储，支持≥1000个音频素材管理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本地音频输入：支持蓝牙、3.5mm音频输入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报警功能：支持≥2路报警输入，支持报警联动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音频输出：支持定阻输出，可外接副音箱，8Ω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网络协议：支持IPv4、HTTP、HTTPS、SIP、TCP、UDP、NTP等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接口协议：支持ISAPI、ISUP、SIP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网络接口：RJ45，自适应10M/100M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18. 通信方式：支持有线网络、蓝牙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19. 管理方式：支持远程平台批量管理、本地WEB配置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20. 自动校时：支持NTP自动校时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21. TTS语音合成：支持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22. 供电方式：支持PoE（802.3at）及DC12V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23. 工作温度：-10°C~50°C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24. 工作湿度：≤90%（无凝结）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平板电脑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屏幕尺寸：≥11英寸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屏幕类型：LCD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屏幕分辨率：≥1920×1200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像素密度：≥207PPI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屏幕刷新率：≥90Hz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屏幕亮度：≥400nits（峰值）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屏占比：≥84%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色彩显示：≥1670万色，超广色域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护眼认证：德国莱茵TUV低蓝光及无频闪认证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处理器：≥8核，主频≥2.4GHz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运行内存：≥6GB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存储容量：≥128GB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操作系统：基于Android 14或同等级及以上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后置摄像头：≥500万像素，支持自动对焦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前置摄像头：≥500万像素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电池容量：≥8300mAh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待机时长：≥80天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18. 视频播放：≥11小时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19. 扬声器：≥四扬声器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20. WLAN：WiFi 5（802.11 a/b/g/n/ac），双频2.4GHz/5GHz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21. 蓝牙：≥BT 5.1，支持BLE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22. 数据接口：Type-C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23. 手写笔支持：支持配套手写笔（USB-C）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门口电子门牌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1. 尺寸: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22英寸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2. 屏幕比例: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16:9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3. 有效显示面积: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477.24(H)x267.71(V)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4. 分辨率: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1920*1080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5. 钣金外壳:钣金加工，耐脏耐磨, 款式简洁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6. 主芯片: Cortex-主频1.6GHz（四核）以上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7. 内存: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2G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8. 存储: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32G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9. 接口:USB2.0、RJ45、WiFi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10. 系统:Andiord 4.2以上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7寸智能门禁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操作系统：嵌入式Linux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屏幕参数：≥7英寸触摸显示屏，分辨率≥600×1024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摄像头：≥200万像素宽动态双目摄像头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认证方式：支持人脸识别、刷卡（IC卡、手机NFC卡、CPU卡、身份证）、密码认证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扩展认证：支持外接身份证、指纹、蓝牙、二维码模块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人脸识别：支持最多≥5人同时识别，支持照片及视频防假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人脸验证速度：≤0.2s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人脸验证准确率：≥99%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人脸库容量：≥10000张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卡库容量：≥50000张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事件记录：≥15万条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网络接口：≥1个LAN口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其他接口：≥1个RS485、≥1个Wiegand（双向）、≥1个Type-C USB、电锁接口、门磁接口、≥2路报警输入、≥1路报警输出、开门按钮、SD卡槽（最大≥512GB）、3.5mm音频输出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通信方式：有线网络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防护等级：≥IP65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安装方式：壁挂安装，适配86底盒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工作电压：DC12V~24V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门禁开关电源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输入电压：100~240VAC宽幅输入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输出电压：12VDC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输出电流：≥4.17A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输出功率：≥50W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蓄电池支持：支持蓄电池接入（设备本身不含蓄电池）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工作温度：-10°C~50°C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工作湿度：≤95%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开门按钮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面板材质：塑料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最大耐电流：≥1.25A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最大耐压：≥250V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输出类型：常开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安装方式：埋入式，适合标准86底盒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磁力锁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最大静态直线拉力：≥280kg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开锁方式：断电开锁，符合消防要求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状态指示：具有电锁状态指示灯（红灯开锁、绿灯上锁）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锁状态侦测：支持门磁信号输出（NO/NC/COM接点）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工作电压：支持DC12V或DC24V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工作电流：12V时≤500mA，24V时≤250mA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使用环境：室内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适用门型：木门、玻璃门、金属门、防火门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磁力锁配件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表面处理：阳极硬化电镀处理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适用门型：木门、金属门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开门方式：90度内开式门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候考显示系统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屏幕尺寸：≥65英寸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屏幕比例：16:9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分辨率：≥3840×2160（4K）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亮度：≥350cd/m²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对比度：≥1500:1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视角：≥178°（水平及垂直）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屏幕保护：钢化玻璃，安全防爆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触摸方式：红外触摸，支持≥20点触控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主处理器：≥4核心处理器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内存：≥8GB DDR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存储：≥128GB固态硬盘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操作系统：Windows 10或同等级及以上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安装方式：配备移动支架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磁力锁（双门锁）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最大静态直线拉力：≥280kg×2（双锁体）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开锁方式：断电开锁，符合消防要求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状态指示：具有电锁状态指示灯（红灯开锁、绿灯上锁）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锁状态侦测：支持门磁信号输出（NO/NC/COM接点）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工作电压：支持DC12V或DC24V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工作电流：12V时≤1040mA，24V时≤520mA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使用环境：室内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适用门型：木门、玻璃门、金属门、防火门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磁力锁配件（双门锁）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表面处理：阳极硬化电镀处理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适用门型：木门、金属门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开门方式：90度内开式门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86寸安防显示器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显示尺寸：≥86寸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物理分辨率：≥3840×2160@60Hz（4K）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亮度：≥450cd/m²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对比度：≥1500:1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可视角度：≥178°（水平及垂直）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响应时间：≤6.5ms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刷新率：≥60Hz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连续工作时间：支持7×24小时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视频输入接口：≥1个HDMI 2.0、≥1个DP、≥1个VGA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音频输入接口：≥1个Line In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数据接口：≥1个USB（支持程序升级及多媒体播放）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控制接口：≥1个RS232输入、≥1个RS232输出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扬声器：内置扬声器，≥2×9W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待机功耗：≤0.5W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安装方式：支持壁挂安装，安装孔距800mm×600mm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工作温度：0°C~40°C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工作湿度：20%~90%（无冷凝）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18. 屏幕特性：无闪烁、低辐射、护眼设计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超高清解码器6AUD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视频输入接口：≥2路HDMI 1.4，支持4K输入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视频输出接口：≥4路HDMI 1.4，支持4K输出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视频输出分辨率：≥3840×2160@30Hz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视频编码标准：支持H.264/H.265、Smart264/Smart265、MJPEG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最高解码分辨率：≥3200万像素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解码通道数：≥64个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1080P解码能力：≥32路同时解码上墙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720P解码能力：≥64路同时解码上墙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400万像素解码能力：≥16路同时解码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电视墙功能：支持拼接、开窗、跨屏漫游、场景轮巡、窗口轮巡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单屏图层数：≥4个1080P图层或≥2个4K图层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窗口分屏：支持1/2/4/6/8/9/12/16/25/36分屏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场景数量：≥64个场景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LED带载能力：单口≥260万像素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网络接口：≥1个千兆以太网口，≥1个光口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报警接口：≥8路报警输入，≥8路报警输出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控制接口：≥1个RS232，≥1个RS485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18. USB接口：≥2个USB 2.0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19. 音频输入：≥2路HDMI内嵌音频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20. 音频输出：支持HDMI内嵌音频及外置音频输出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21. 网络协议：支持RTP/RTSP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22. 功耗：≤50W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控制主机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处理器：≥8核心16线程，主频≥3.8GHz，睿频≥5.1GHz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运行内存：≥16GB，DDR5类型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硬盘：≥1TB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操作系统：Windows 11家庭中文版或同等级及以上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屏幕尺寸：≥16英寸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硬盘录像机（128位）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设备类型：3U机架式网络硬盘录像机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架构：存算一体架构，内置高性能AI处理器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电源：1+1冗余电源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存储接口：≥16个SATA接口，支持硬盘热插拔，单盘最大支持≥16TB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视频输出接口：≥2个HDMI，≥2个VGA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最大显示能力：支持8K+1080P或双4K异源输出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网络接口：≥2个千兆自适应以太网口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报警接口：≥16路报警输入，≥9路报警输出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串行接口：≥1路RS-232，≥1路RS-485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USB接口：≥2个USB 2.0，≥2个USB 3.0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扩展接口：≥1个eSATA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输入带宽：≥384Mbps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输出带宽：≥256Mbps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接入能力：≥128路H.264/H.265格式高清码流接入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解码能力：≥32路1080P同时解码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RAID支持：支持RAID0/1/5/6/10，支持全局热备盘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周界自学习：支持周界算法（越界侦测、区域入侵、进入区域、离开区域）的推理、训练同时运行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18. 算法自动迭代：支持自动素材收集、自动标定、自动训练、自动升级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19. 图片流自学习性能：≥128路图片流自学习周界防范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20. 单AI引擎分析能力：≥64路图片流或≥12路2MP/6路4MP/2路8MP视频流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21. 目标识别：支持目标抓拍、比对报警、以图搜图、按姓名检索、按属性检索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22. 目标名单库：≥32个名单库，总库容≥10万张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23. 目标抓拍：≥16路视频流（2MP）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24. 目标比对：≥48路图片流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25. 智搜应用：支持全路数目标检索，≥128路智搜能力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19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监控级硬盘（8T）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硬盘类型：监控级硬盘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硬盘尺寸：3.5英寸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存储容量：≥8TB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缓存容量：≥256MB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转速：≥5400RPM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接口类型：SATA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网络广播主机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设备类型：广播管理主机，上架式或桌面式安装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显示屏：≥17.3英寸触摸屏，分辨率≥1920×1080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触摸方式：≥10点电容触摸屏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亮度：≥300cd/m²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可视角度：≥89°（上/下/左/右）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键鼠：抽拉式键盘鼠标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处理器：≥4核心，主频≥3.1GHz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内存：≥8GB DDR3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存储：≥128GB固态硬盘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芯片组：B75或同等级及以上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网络接口：≥2个千兆自适应网口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视频接口：≥1个VGA，≥1个HDMI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串行接口：≥6个COM口（含RS232/RS422/RS485）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USB接口：≥4个USB 3.0，≥2个USB 2.0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音频接口：≥1个MIC输入，≥1个Line输出，≥1个Line输入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扩展插槽：≥1个PCIe×16，≥1个PCIe×4，≥2个PCI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设备接入能力：≥1500路广播点接入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18. 并发广播：≥500路实时广播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19. 响应时间：≤5秒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20. 协议支持：支持ISAPI、ISUP5.0协议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21. 分区管理：支持广播设备按分区管理，点位与分区可任意关联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22. 定时任务：支持定时任务配置及时间计划模板管理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23. 预案广播：支持一键预案广播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24. 权限管理：支持按广播点位、分区、功能模块进行精细化权限控制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25. 音频广播：支持本地音频文件实时广播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26. 实时喊话：支持实时喊话广播与紧急广播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27. 音量调节：支持单独或批量调节广播设备音量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28. 操作记录：支持所有广播操作记录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29. NTP校时：支持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30. 设备状态：支持实时显示广播设备在线状态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31. 数据下发：支持一键下发至网络寻呼话筒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32. 数据备份：支持自动备份与手动恢复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33. 供电方式：AC 90~264V宽压输入，≥300W电源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34. 抗电磁干扰：接触式≥4KV，气隙≥6KV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35. 工作温度：-10°C~60°C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36. 工作湿度：5%~95%（非凝结）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37. 存储温度：-20°C~70°C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38. 操作系统：Windows 10企业版或同等级及以上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21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网络寻呼话筒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显示屏：≥7英寸彩色IPS触摸屏，分辨率≥1024×600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按键类型：实体按键+触摸按键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音频输入：≥1路鹅颈话筒输入，≥1路3.5mm音频输入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音频输出：≥1路本地扬声器输出，≥1路3.5mm音频输出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音频编码：支持G.711U，码率64Kbps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回声消除：支持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实时广播：支持对指定分区或终端进行实时广播、喊话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媒体播放：支持播放媒体库文件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快捷键：支持≥6个快捷键（F1-F6）自定义广播选择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紧急呼叫：支持长按一键紧急呼叫功能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账号管理：支持账号密码登录，支持参数配置、系统维护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网络协议：支持ISAPI、ISUP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网络接口：≥1个以太网口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本地存储：支持TF卡扩展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供电方式：DC12V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设备功耗：≤10W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工作温度：-10°C~50°C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18. 工作湿度：10%~9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22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48口交换机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端口配置：≥48个1000 Base-T电口，≥4个1000 Base-X SFP光口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端口交换容量：≥104Gbps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转发能力：≥77.4Mpps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MAC地址表：≥16K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包缓存：≥12Mb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交换模式：存储转发模式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PoE+供电：支持PoE+，整机最大输出功率≥370W，单端口最大供电≥30W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模式切换：支持标准交换、端口隔离、汇聚上联、网络克隆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电源：100~240V AC宽幅输入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防雷等级：≥6KV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散热方式：风扇散热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工作温度：0°C~40°C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存储温度：-40°C~70°C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工作湿度：5%~95%（非冷凝）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安装方式：带挂耳，支持机架安装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MTBF：≥50000小时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认证：3C认证、进网许可证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23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24口交换机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端口配置：≥24个10/100/1000Base-T电口，≥2个1000Base-X SFP光口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端口交换容量：≥52Gbps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转发能力：≥38.7Mpps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MAC地址表：≥16K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包缓存：≥4Mb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交换模式：存储转发模式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PoE+供电：支持PoE+，整机最大输出功率≥370W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模式切换：支持标准交换、网络克隆、汇聚上联、端口隔离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电源：100~240V AC宽幅输入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散热方式：双风扇散热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工作温度：0°C~40°C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存储温度：-40°C~70°C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工作湿度：5%~95%（非冷凝）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安装方式：支持机架安装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MTBF：≥50000小时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认证：3C认证、进网许可证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24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企业路由器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设备类型：有线路由器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散热方式：自然散热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适用面积：≥400㎡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总带机量：≥300终端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WAN口数量：≥4个，支持光口、电口、光电复用口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WAN接入口：千兆网口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LAN口数量：≥4个，支持光口、电口、光电复用口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LAN输出口：千兆网口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其他端口：≥1个USB口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VPN支持：支持企业VPN，含IPSec VPN、L2TP VPN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防火墙：支持防火墙功能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上网行为管理：支持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AP管理：支持AP管理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管理方式：支持云端管理、远程管理、WEB页面管理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25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机柜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长宽高：≥600*1000*2000mm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立柱孔距：≥470mm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用途：装载网络设备网络配件等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标准：符合《网络机柜技术条件》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26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移动式平板充电柜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充电接口：≥60个USB充电口，5V/2.4A直流输出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配套线缆：≥60条数据线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智能识别：内置充电IC芯片，智能识别设备所需电流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充电指示：每口独立充电，具备智能LED指示灯（红灯充电中、绿灯充满/未连接）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端口标识：每个充电口配有对应数字序号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电源开关：金属按钮开关，支持≥15A电流，兼具电源开关及通电指示功能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散热系统：≥1个120mm风扇，搭配智能温控系统，28°C±5°C自动启停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电源类型：主动式PEC节能开关电源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 安全保护：具备十重安全保护（雷击保护、浪涌保护、过载保护、漏电保护、隔离保护、过流保护、过压保护、短路保护、过充保护、灌流保护）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10. 消毒功能（选配）：支持紫外线+臭氧双重消毒，启动25分钟后自动关闭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 定时功能（选配）：支持电子显示屏定时，可设置多组定时及倒计时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 工位容积：320mm×200mm×25mm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 顶部设计：顶边圆弧≥R10设计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14. 提手：两侧设有ABS工程提手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15. 防撞角：四底角加装凸高≥22mm软塑防撞角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16. 脚轮：≥4个3寸带刹车天然橡胶静音脚轮，高度≥105mm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17. 工位设计：三层式全黑20工位/层设计，配装ABS绿色隔断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18. 门锁：单开前门锁，左侧舱为电源管控封闭区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19. 视窗设计：门板透明视窗与内部充电LED灯一一对应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20. 通风散热：前门板与侧板设有对流孔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27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多功能录入仪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显示屏：≥3.97英寸触摸显示屏，分辨率≥800×480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摄像头：≥200万像素双目摄像头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防假功能：支持照片、视频防假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人脸采集：支持人脸采集功能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卡片录入：支持ID卡、IC卡、普通CPU卡、国密CPU卡、二三代身份证序列号录入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通信方式：支持有线网络、无线WiFi、USB口通信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 在线采集：支持通过网络协议或USB口对接平台，采集信息实时上传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 工作电压：DC12V/1.5A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4" w:type="dxa"/>
            <w:gridSpan w:val="2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28</w:t>
            </w:r>
          </w:p>
        </w:tc>
        <w:tc>
          <w:tcPr>
            <w:tcW w:w="1215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无线AP</w:t>
            </w:r>
          </w:p>
        </w:tc>
        <w:tc>
          <w:tcPr>
            <w:tcW w:w="1208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 设备类型：吸顶型AP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2. 无线协议：支持802.11ax协议，兼容802.11a/b/g/n/ac协议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3. 无线速率：≥3Gbps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4. 千兆网口：≥1个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5. 天线类型：内置天线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6. 散热方式：自然散热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7.供电方式：支持PoE供电及DC供电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8.支持Fat和Fit 两种工作模式，可根据网络规划需要灵活切换；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9.内置独立扫描硬件射频，可不影响业务接入前提下支持实时监测并反制环境非法WI-FI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▲10.主动对无线网络服务检测，包括网络接入、DHCP、网关、DNS、网络地址等阶段的时延和质量检测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11.为了保障内网无线流量安全，AP结合管理平台可实现识别记录异常终端访问行为，并执行策略阻断风险终端访问动作；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12.支持静态IP地址、DHCP Option43、DNS域名等多种自动发现机制；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13.为了降低无线网络优化难度，AP结合管理平台可实现无线网络信道自动化功能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▲14.具备无线网络环境指标监测功能，包括信道总利用率、WI-FI信道利用率、非WI-FI信道利用率、同频AP数量等；</w:t>
            </w:r>
          </w:p>
        </w:tc>
        <w:tc>
          <w:tcPr>
            <w:tcW w:w="615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863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215" w:type="dxa"/>
            <w:vAlign w:val="center"/>
          </w:tcPr>
          <w:p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无线智能网络管理中心控制器</w:t>
            </w:r>
          </w:p>
        </w:tc>
        <w:tc>
          <w:tcPr>
            <w:tcW w:w="1208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1、设备支持千兆以太网口数≥3个，支持≥1个扩展插槽；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2、设备最大可管理AP数≥288个；本次配置60个AP、交换机接入授权。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3、支持对802、11a/b/g/n/ac/ax/be AP进行统一控制；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4、支持WIDS无线入侵检测、WIPS无线入侵防御功能，可实时监测、预警、阻断钓鱼AP、非法接入、无线攻击、频谱干扰等安全风险，全方位保障无线网络接入安全与运行稳定。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5、支持MAC认证、WEB认证、802、1X认证等多种认证方式，也可支持多因素绑定认证，保证只有合法的用户才能进入网络；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▲6、支持预配置部署上线，可以通过导入无线AP的MAC地址和SN码，AP联网后无需任何配置即可发现无线控制器；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7、支持射频引导功能，引导无线终端优先接入干扰小的5G频段;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8、支持分级管理的架构，总部控制器可以统一管理下属所有的分支控制器和AP，配置能够自动同步，并且在总部控制器上能够查看整个无线网络的信息;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9、支持主流终端类型识别，例如：摄像头、路由器、办公设备、移动终端等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▲10、支持流量安全策略，实现全网安全风险拦截，实现内网终端之间风险拦截；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11、支持将核心业务区域设置成重点区域，重点保障重点区域的接入体验；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12、支持智能无线自动调优功能，在不影响业务的情况下，能够基于历史无线数据，进行射频资源调优，支持查看调优记录；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13、支持识别邮件、游戏、P2P流媒体、WEB流媒体、金融交易、办公OA、移动终端应用等主流应用；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14、可识别4000种网络应用，海量预分类的URL地址；</w:t>
            </w:r>
          </w:p>
        </w:tc>
        <w:tc>
          <w:tcPr>
            <w:tcW w:w="615" w:type="dxa"/>
            <w:vAlign w:val="center"/>
          </w:tcPr>
          <w:p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gridSpan w:val="2"/>
            <w:vAlign w:val="center"/>
          </w:tcPr>
          <w:p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215" w:type="dxa"/>
            <w:vAlign w:val="center"/>
          </w:tcPr>
          <w:p>
            <w:pPr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监控控制主机</w:t>
            </w:r>
          </w:p>
        </w:tc>
        <w:tc>
          <w:tcPr>
            <w:tcW w:w="1208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1. 整机类型：一体式台式电脑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2. 处理器：≥i5 12代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3. 内存容量：≥16GB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4. 硬盘：480GB-512GB SSD 固态硬盘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5. 显示核心：集成显卡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6. 显示屏：27 英寸全面屏，分辨率≥1920*1080 全高清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7. 接口配置：配备 2 个 USB3.0 接口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8. 无线功能：内置 Wi-Fi 无线模块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9. 能效要求：一级能效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10. 非信创类产品</w:t>
            </w:r>
          </w:p>
        </w:tc>
        <w:tc>
          <w:tcPr>
            <w:tcW w:w="615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540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  <w:jc w:val="center"/>
        </w:trPr>
        <w:tc>
          <w:tcPr>
            <w:tcW w:w="874" w:type="dxa"/>
            <w:gridSpan w:val="2"/>
            <w:vAlign w:val="center"/>
          </w:tcPr>
          <w:p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15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柔性布局配套设施</w:t>
            </w:r>
          </w:p>
        </w:tc>
        <w:tc>
          <w:tcPr>
            <w:tcW w:w="1208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信息化空间分隔配套设施，厚度≥65mm，隔音性能≥38dB，最大高度≥4500mm，单元最大宽度≥1200mm，适配信息化区域管线、桥架布设。配置内置伸缩机构，支持水平伸缩、升降压紧；密封结构可阻隔声光、降低粉尘干扰，保障信息化设备运行环境。吊轨带有侧向滑槽，侧向受力仍可顺畅滑动，整机运行平稳牢靠，适配机房、实训场地长期高频开合、运维检修的使用需求。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具体尺寸参考图纸附件：三层隔为12个房间，四层隔为18个房间</w:t>
            </w:r>
          </w:p>
        </w:tc>
        <w:tc>
          <w:tcPr>
            <w:tcW w:w="615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540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8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</w:t>
            </w:r>
            <w:r>
              <w:rPr>
                <w:rFonts w:hint="eastAsia" w:cs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弱电设计及项目实施</w:t>
            </w:r>
          </w:p>
        </w:tc>
        <w:tc>
          <w:tcPr>
            <w:tcW w:w="12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101" w:type="dxa"/>
            <w:vAlign w:val="center"/>
          </w:tcPr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信息化弱电设计及项目安装实施</w:t>
            </w:r>
          </w:p>
          <w:p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具体尺寸参考图纸附件：三层、四层两层楼的平面图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662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10"/>
            <w:shd w:val="clear" w:color="auto" w:fill="auto"/>
            <w:vAlign w:val="center"/>
          </w:tcPr>
          <w:p>
            <w:pPr>
              <w:pStyle w:val="165"/>
              <w:widowControl w:val="0"/>
              <w:pBdr>
                <w:left w:val="none" w:color="auto" w:sz="0" w:space="0"/>
                <w:bottom w:val="none" w:color="auto" w:sz="0" w:space="0"/>
                <w:right w:val="none" w:color="auto" w:sz="0" w:space="0"/>
              </w:pBdr>
              <w:adjustRightInd w:val="0"/>
              <w:snapToGrid w:val="0"/>
              <w:spacing w:before="0" w:beforeAutospacing="0" w:after="0" w:after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商务要求表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7" w:type="dxa"/>
            <w:gridSpan w:val="4"/>
            <w:shd w:val="clear" w:color="auto" w:fill="auto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质保期</w:t>
            </w:r>
          </w:p>
        </w:tc>
        <w:tc>
          <w:tcPr>
            <w:tcW w:w="10877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软件质保3年，硬件质保</w:t>
            </w:r>
            <w:r>
              <w:rPr>
                <w:rFonts w:hint="eastAsia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z w:val="28"/>
                <w:szCs w:val="28"/>
              </w:rPr>
              <w:t>年。质保期自设备验收合格之日起算，质保期内硬件提供免费维保、损坏配件更换；软件系统提供免费运维技术支持，保障系统稳定可靠运行。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3297" w:type="dxa"/>
            <w:gridSpan w:val="4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技术服务要求</w:t>
            </w:r>
          </w:p>
        </w:tc>
        <w:tc>
          <w:tcPr>
            <w:tcW w:w="10877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免费由原厂技术人员现场安装、调试，并免费培训技术操作人员。安装、调试和培训所需的工具、器材以及系统集成费、差旅费、运费和相关税费，均由成交供应商自理；各项性能指标达到技术要求的，由供需双方共同签字认可，现场验收；提供全套说明书并包括简易的中文操作说明和注意事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7" w:type="dxa"/>
            <w:gridSpan w:val="4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售后服务保障或维修响应时间要求</w:t>
            </w:r>
          </w:p>
        </w:tc>
        <w:tc>
          <w:tcPr>
            <w:tcW w:w="10877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按国家有关规定实行产品“三包”；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免费送货上门；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提供7×24小时技术支持服务，提供相同性能参数的备件替用，保证系统正常运行；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定期回访以及维修；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质保期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自最终验收合格之日起计算，质保期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内所有设备免费上门维修服务、免费更换零部件、免费软件升级；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提供终身维护；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7、免费培训：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成交供应商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负责进行现场培训，内容包括设备及软件操作、维护，使技术操作人员能够熟练掌握日常使用，培训时间不得少于2个工作日；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、磋商时提供项目技术方案，方案内容包括但不限于：在全面了解用户业务系统现状的基础上提供详细的系统网络拓扑图、系统架构图；提供详细的应急服务方案；提出切实可行的优化改进建议和后续建设规划建议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9、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其余按厂家承诺进行。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7" w:type="dxa"/>
            <w:gridSpan w:val="4"/>
            <w:shd w:val="clear" w:color="auto" w:fill="auto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签订合同时间、交货时间及地点</w:t>
            </w:r>
          </w:p>
        </w:tc>
        <w:tc>
          <w:tcPr>
            <w:tcW w:w="10877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1、签订合同时间：自成交通知书发出之日起 5天内。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2、交货期：自签订合同之日起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>个工作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日内，安装调试完毕并交付使用。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3、交货地点：采购人指定地点。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7" w:type="dxa"/>
            <w:gridSpan w:val="4"/>
            <w:shd w:val="clear" w:color="auto" w:fill="auto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付款条件</w:t>
            </w:r>
          </w:p>
        </w:tc>
        <w:tc>
          <w:tcPr>
            <w:tcW w:w="10877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本项目签订合同前，</w:t>
            </w:r>
            <w:r>
              <w:rPr>
                <w:rFonts w:hint="default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成交供应商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按成交金额的3%向采购人支付履约保证金。本项目质保期满，</w:t>
            </w:r>
            <w:r>
              <w:rPr>
                <w:rFonts w:hint="default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成交供应商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向</w:t>
            </w:r>
            <w:r>
              <w:rPr>
                <w:rFonts w:hint="default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申请办理履约保证金退还手续后，</w:t>
            </w:r>
            <w:r>
              <w:rPr>
                <w:rFonts w:hint="default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将履约保证金退回到成交供应商账户（不计利息）；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签订合同后采购人以转帐的方式向成交供应商支付合同金额 50% 货款，付款前成交供应商须开具对应金额发票给采购人；项目完成交货安装调试完毕并验收合格后，采购人以转帐的方式支付剩余 50% 货款。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7" w:type="dxa"/>
            <w:gridSpan w:val="4"/>
            <w:shd w:val="clear" w:color="auto" w:fill="auto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其他要求</w:t>
            </w:r>
          </w:p>
        </w:tc>
        <w:tc>
          <w:tcPr>
            <w:tcW w:w="10877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1、本项目报价包含货物（服务）、标准附件、备品备件、专用工具、软件介质、运输、保管、安装调试、验收、培训等各种费用和售后服务、税金及其它所有成本费用的总和。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2、成交供应商必须保证所提供的货物为全新的出厂货物。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  <w:t>. 负责本项目信息化弱电系统的深化设计，包括视频监控、门禁管理、网络广播、综合布线、无线网络覆盖、信息发布显示等子系统，提供系统拓扑图及设备安装示意图。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  <w:t xml:space="preserve"> 综合布线系统须满足六类及以上标准，支持千兆到桌面、万兆骨干传输，所有信息点位须进行链路测试并合格。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  <w:t xml:space="preserve"> 负责全部弱电线缆敷设及线管、线槽、桥架等辅材的供应与安装，线缆敷设规范整齐并做好标识标签。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  <w:t xml:space="preserve"> 负责所有弱电设备的安装、接线及调试，确保视频监控全覆盖无死角、门禁权限分级管理准确、广播音质清晰覆盖均匀、无线网络信号全覆盖。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  <w:t xml:space="preserve"> 完成各弱电子系统的集成及联调联试，配合完成OSCE考试系统软件平台的对接调试。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8、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  <w:t xml:space="preserve"> 配备具有相关资质的项目经理及专业技术团队，施工过程遵守安全生产及医院管理制度，做好与其他专业的协调配合。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9、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  <w:t xml:space="preserve"> 提供完整竣工资料，包括设备安装示意图、设备材料清单、操作手册及相关技术文档。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outlineLvl w:val="9"/>
              <w:rPr>
                <w:rFonts w:hint="eastAsia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10、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en-US"/>
              </w:rPr>
              <w:t xml:space="preserve"> 系统安装完成后按国家标准和行业规范进行验收，并为采购人提供不少于2个工作日的现场技术培训。</w:t>
            </w:r>
          </w:p>
        </w:tc>
      </w:tr>
    </w:tbl>
    <w:p>
      <w:pPr>
        <w:rPr>
          <w:rFonts w:hint="eastAsia" w:ascii="宋体" w:hAnsi="宋体" w:eastAsia="宋体" w:cs="宋体"/>
        </w:rPr>
      </w:pPr>
    </w:p>
    <w:sectPr>
      <w:footerReference r:id="rId3" w:type="default"/>
      <w:pgSz w:w="16838" w:h="11906" w:orient="landscape"/>
      <w:pgMar w:top="1463" w:right="1440" w:bottom="1463" w:left="1440" w:header="720" w:footer="720" w:gutter="0"/>
      <w:paperSrc/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</w:pPr>
    <w:r>
      <w:rPr>
        <w:sz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ADFA8D"/>
    <w:multiLevelType w:val="singleLevel"/>
    <w:tmpl w:val="BEADFA8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74ABF57"/>
    <w:multiLevelType w:val="singleLevel"/>
    <w:tmpl w:val="D74ABF5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F7FF6EF"/>
    <w:multiLevelType w:val="singleLevel"/>
    <w:tmpl w:val="DF7FF6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1DE83AD"/>
    <w:multiLevelType w:val="singleLevel"/>
    <w:tmpl w:val="E1DE83AD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EF77D5B2"/>
    <w:multiLevelType w:val="singleLevel"/>
    <w:tmpl w:val="EF77D5B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FFAB6D32"/>
    <w:multiLevelType w:val="singleLevel"/>
    <w:tmpl w:val="FFAB6D3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7">
    <w:nsid w:val="FFFFFF7F"/>
    <w:multiLevelType w:val="single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8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9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10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1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2">
    <w:nsid w:val="5FF617F0"/>
    <w:multiLevelType w:val="singleLevel"/>
    <w:tmpl w:val="5FF617F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8"/>
  </w:num>
  <w:num w:numId="5">
    <w:abstractNumId w:val="6"/>
  </w:num>
  <w:num w:numId="6">
    <w:abstractNumId w:val="9"/>
  </w:num>
  <w:num w:numId="7">
    <w:abstractNumId w:val="5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E84EAA"/>
    <w:rsid w:val="03100052"/>
    <w:rsid w:val="045D5396"/>
    <w:rsid w:val="049251C3"/>
    <w:rsid w:val="04C04F70"/>
    <w:rsid w:val="05322502"/>
    <w:rsid w:val="05B178CA"/>
    <w:rsid w:val="0788686E"/>
    <w:rsid w:val="079E5C2C"/>
    <w:rsid w:val="07B12488"/>
    <w:rsid w:val="0C253490"/>
    <w:rsid w:val="0C8573BB"/>
    <w:rsid w:val="0C863F12"/>
    <w:rsid w:val="0D31309F"/>
    <w:rsid w:val="0DB32AEA"/>
    <w:rsid w:val="0DFC36AD"/>
    <w:rsid w:val="0F670FFA"/>
    <w:rsid w:val="0FC36927"/>
    <w:rsid w:val="10CD5BB1"/>
    <w:rsid w:val="132E255A"/>
    <w:rsid w:val="13ED41C3"/>
    <w:rsid w:val="14102599"/>
    <w:rsid w:val="151E65FF"/>
    <w:rsid w:val="15B912F9"/>
    <w:rsid w:val="17604AD5"/>
    <w:rsid w:val="181635BD"/>
    <w:rsid w:val="18DE296B"/>
    <w:rsid w:val="191844B7"/>
    <w:rsid w:val="19280DD6"/>
    <w:rsid w:val="192835A8"/>
    <w:rsid w:val="1A6E35C8"/>
    <w:rsid w:val="1AC43490"/>
    <w:rsid w:val="1BCB46FB"/>
    <w:rsid w:val="1C640D9B"/>
    <w:rsid w:val="1D8274E1"/>
    <w:rsid w:val="1F45194C"/>
    <w:rsid w:val="1F9867EB"/>
    <w:rsid w:val="1FD91AA0"/>
    <w:rsid w:val="20FA1CCE"/>
    <w:rsid w:val="22C772D8"/>
    <w:rsid w:val="23F01166"/>
    <w:rsid w:val="252512CC"/>
    <w:rsid w:val="26903C34"/>
    <w:rsid w:val="271E423C"/>
    <w:rsid w:val="281A3F08"/>
    <w:rsid w:val="28FB2A87"/>
    <w:rsid w:val="29B80978"/>
    <w:rsid w:val="2AF21C68"/>
    <w:rsid w:val="2B592C00"/>
    <w:rsid w:val="2B8E1990"/>
    <w:rsid w:val="2CE359E0"/>
    <w:rsid w:val="2D460659"/>
    <w:rsid w:val="2D5F56D2"/>
    <w:rsid w:val="300B6429"/>
    <w:rsid w:val="3073561B"/>
    <w:rsid w:val="33233306"/>
    <w:rsid w:val="34FB3C68"/>
    <w:rsid w:val="351C625F"/>
    <w:rsid w:val="3529272A"/>
    <w:rsid w:val="35C366DA"/>
    <w:rsid w:val="38521F98"/>
    <w:rsid w:val="38DB1F8D"/>
    <w:rsid w:val="39204800"/>
    <w:rsid w:val="3D497236"/>
    <w:rsid w:val="3E1A3557"/>
    <w:rsid w:val="40A55C93"/>
    <w:rsid w:val="40BE60FF"/>
    <w:rsid w:val="412302F0"/>
    <w:rsid w:val="426C7071"/>
    <w:rsid w:val="42867334"/>
    <w:rsid w:val="42B46A13"/>
    <w:rsid w:val="447C5DA3"/>
    <w:rsid w:val="47723745"/>
    <w:rsid w:val="49CD4E00"/>
    <w:rsid w:val="4BCB2BF6"/>
    <w:rsid w:val="4C5365B2"/>
    <w:rsid w:val="4D1F6494"/>
    <w:rsid w:val="4D752558"/>
    <w:rsid w:val="4E2C2597"/>
    <w:rsid w:val="4E6323B1"/>
    <w:rsid w:val="4F953148"/>
    <w:rsid w:val="50093058"/>
    <w:rsid w:val="50190288"/>
    <w:rsid w:val="50707007"/>
    <w:rsid w:val="513C10BA"/>
    <w:rsid w:val="51CA10D6"/>
    <w:rsid w:val="523D1B1A"/>
    <w:rsid w:val="52DE4B29"/>
    <w:rsid w:val="52E53CDC"/>
    <w:rsid w:val="531225F7"/>
    <w:rsid w:val="533E1A43"/>
    <w:rsid w:val="53BF4C42"/>
    <w:rsid w:val="53FA56BA"/>
    <w:rsid w:val="545804DE"/>
    <w:rsid w:val="5492579E"/>
    <w:rsid w:val="550A49E6"/>
    <w:rsid w:val="576D38D2"/>
    <w:rsid w:val="5819495A"/>
    <w:rsid w:val="58590268"/>
    <w:rsid w:val="58FA7946"/>
    <w:rsid w:val="5AF8590C"/>
    <w:rsid w:val="5BA84EAC"/>
    <w:rsid w:val="5CE80837"/>
    <w:rsid w:val="5DBB5D65"/>
    <w:rsid w:val="61F25ACE"/>
    <w:rsid w:val="631B2C2D"/>
    <w:rsid w:val="640B731B"/>
    <w:rsid w:val="65F56B8B"/>
    <w:rsid w:val="66236C29"/>
    <w:rsid w:val="69C66CD0"/>
    <w:rsid w:val="69C922D4"/>
    <w:rsid w:val="6B187299"/>
    <w:rsid w:val="6CAA3B18"/>
    <w:rsid w:val="6EF45C3D"/>
    <w:rsid w:val="6FAA7332"/>
    <w:rsid w:val="71116B3F"/>
    <w:rsid w:val="722B40F4"/>
    <w:rsid w:val="733162FC"/>
    <w:rsid w:val="75376BFA"/>
    <w:rsid w:val="77B91110"/>
    <w:rsid w:val="7C945CA8"/>
    <w:rsid w:val="7E6F1B81"/>
    <w:rsid w:val="7F191D95"/>
    <w:rsid w:val="BBF7E557"/>
    <w:rsid w:val="D3D78521"/>
    <w:rsid w:val="E7FEDEC7"/>
    <w:rsid w:val="EDFB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2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3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 New" w:hAnsi="Courier New" w:eastAsia="Segoe Print" w:cstheme="minorBidi"/>
      <w:sz w:val="20"/>
      <w:szCs w:val="20"/>
      <w:lang w:val="en-US" w:eastAsia="en-US" w:bidi="ar-SA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34">
    <w:name w:val="Strong"/>
    <w:basedOn w:val="33"/>
    <w:qFormat/>
    <w:uiPriority w:val="22"/>
    <w:rPr>
      <w:b/>
      <w:bCs/>
    </w:rPr>
  </w:style>
  <w:style w:type="character" w:styleId="35">
    <w:name w:val="Emphasis"/>
    <w:basedOn w:val="33"/>
    <w:qFormat/>
    <w:uiPriority w:val="20"/>
    <w:rPr>
      <w:i/>
      <w:iCs/>
    </w:rPr>
  </w:style>
  <w:style w:type="table" w:styleId="37">
    <w:name w:val="Table Grid"/>
    <w:basedOn w:val="3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8">
    <w:name w:val="Light Shading"/>
    <w:basedOn w:val="36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36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36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36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36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36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36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36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36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36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36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36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36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36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36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36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36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36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36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36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36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36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36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36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36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36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36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36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4">
    <w:name w:val="Medium List 1 Accent 1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80">
    <w:name w:val="Medium List 2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1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2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3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4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5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List 2 Accent 6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7">
    <w:name w:val="Medium Grid 1"/>
    <w:basedOn w:val="36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8">
    <w:name w:val="Medium Grid 1 Accent 1"/>
    <w:basedOn w:val="36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36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36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36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36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36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4">
    <w:name w:val="Medium Grid 2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1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2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3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4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5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2 Accent 6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1">
    <w:name w:val="Medium Grid 3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3">
    <w:name w:val="Colorful List Accent 1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9">
    <w:name w:val="Colorful Grid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30">
    <w:name w:val="Colorful Grid Accent 1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33"/>
    <w:link w:val="25"/>
    <w:qFormat/>
    <w:uiPriority w:val="99"/>
  </w:style>
  <w:style w:type="character" w:customStyle="1" w:styleId="137">
    <w:name w:val="Footer Char"/>
    <w:basedOn w:val="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eastAsia="Segoe Print" w:asciiTheme="minorHAnsi" w:hAnsiTheme="minorHAnsi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33"/>
    <w:link w:val="19"/>
    <w:qFormat/>
    <w:uiPriority w:val="99"/>
  </w:style>
  <w:style w:type="character" w:customStyle="1" w:styleId="146">
    <w:name w:val="Body Text 2 Char"/>
    <w:basedOn w:val="33"/>
    <w:link w:val="28"/>
    <w:qFormat/>
    <w:uiPriority w:val="99"/>
  </w:style>
  <w:style w:type="character" w:customStyle="1" w:styleId="147">
    <w:name w:val="Body Text 3 Char"/>
    <w:basedOn w:val="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33"/>
    <w:link w:val="13"/>
    <w:qFormat/>
    <w:uiPriority w:val="99"/>
    <w:rPr>
      <w:rFonts w:ascii="Courier New" w:hAnsi="Courier New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33"/>
    <w:link w:val="2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33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33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33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33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xl2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47</Pages>
  <Words>8605</Words>
  <Characters>11124</Characters>
  <Lines>0</Lines>
  <Paragraphs>0</Paragraphs>
  <TotalTime>3</TotalTime>
  <ScaleCrop>false</ScaleCrop>
  <LinksUpToDate>false</LinksUpToDate>
  <CharactersWithSpaces>11602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韦善译</cp:lastModifiedBy>
  <dcterms:modified xsi:type="dcterms:W3CDTF">2026-09-18T01:36:49Z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eyJoZGlkIjoiMTQ2NGUzNmZmNzVkNTA1NzgxNmRjNTUyNjEzNGExZDAiLCJ1c2VySWQiOiIzMzg4NDM5OTMifQ==</vt:lpwstr>
  </property>
  <property fmtid="{D5CDD505-2E9C-101B-9397-08002B2CF9AE}" pid="3" name="KSOProductBuildVer">
    <vt:lpwstr>2052-10.8.2.7090</vt:lpwstr>
  </property>
  <property fmtid="{D5CDD505-2E9C-101B-9397-08002B2CF9AE}" pid="4" name="ICV">
    <vt:lpwstr>65B795FA33D74B68A569F0CF01C33796_13</vt:lpwstr>
  </property>
</Properties>
</file>