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189B2">
      <w:pPr>
        <w:rPr>
          <w:rFonts w:hint="eastAsia" w:ascii="黑体" w:hAnsi="黑体" w:eastAsia="黑体" w:cs="黑体"/>
          <w:kern w:val="0"/>
          <w:sz w:val="32"/>
          <w:szCs w:val="32"/>
          <w:lang w:val="en-US" w:eastAsia="zh-CN"/>
        </w:rPr>
      </w:pPr>
    </w:p>
    <w:p w14:paraId="754C02A0">
      <w:pPr>
        <w:rPr>
          <w:rFonts w:hint="eastAsia" w:ascii="黑体" w:eastAsia="黑体" w:cs="ArialUnicodeMS"/>
          <w:kern w:val="0"/>
          <w:sz w:val="72"/>
          <w:szCs w:val="72"/>
        </w:rPr>
      </w:pPr>
    </w:p>
    <w:p w14:paraId="57B957D7">
      <w:pPr>
        <w:rPr>
          <w:rFonts w:hint="eastAsia" w:ascii="黑体" w:eastAsia="黑体" w:cs="ArialUnicodeMS"/>
          <w:kern w:val="0"/>
          <w:sz w:val="72"/>
          <w:szCs w:val="72"/>
        </w:rPr>
      </w:pPr>
    </w:p>
    <w:p w14:paraId="3AA15793">
      <w:pPr>
        <w:jc w:val="center"/>
        <w:rPr>
          <w:rFonts w:hint="eastAsia" w:ascii="方正小标宋简体" w:hAnsi="黑体" w:eastAsia="方正小标宋简体"/>
          <w:bCs/>
          <w:color w:val="000000"/>
          <w:sz w:val="52"/>
          <w:szCs w:val="52"/>
        </w:rPr>
      </w:pPr>
      <w:r>
        <w:rPr>
          <w:rFonts w:hint="eastAsia" w:ascii="方正小标宋简体" w:eastAsia="方正小标宋简体" w:cs="ArialUnicodeMS"/>
          <w:kern w:val="0"/>
          <w:sz w:val="52"/>
          <w:szCs w:val="52"/>
        </w:rPr>
        <w:t>广西中医药大学</w:t>
      </w:r>
      <w:r>
        <w:rPr>
          <w:rFonts w:hint="eastAsia" w:ascii="方正小标宋简体" w:eastAsia="方正小标宋简体" w:cs="ArialUnicodeMS"/>
          <w:kern w:val="0"/>
          <w:sz w:val="52"/>
          <w:szCs w:val="52"/>
          <w:lang w:val="en-US" w:eastAsia="zh-CN"/>
        </w:rPr>
        <w:t>第二附属</w:t>
      </w:r>
      <w:r>
        <w:rPr>
          <w:rFonts w:hint="eastAsia" w:ascii="方正小标宋简体" w:eastAsia="方正小标宋简体" w:cs="ArialUnicodeMS"/>
          <w:kern w:val="0"/>
          <w:sz w:val="52"/>
          <w:szCs w:val="52"/>
        </w:rPr>
        <w:t>医院</w:t>
      </w:r>
    </w:p>
    <w:p w14:paraId="73134146">
      <w:pPr>
        <w:jc w:val="center"/>
        <w:rPr>
          <w:rFonts w:hint="eastAsia" w:ascii="方正小标宋简体" w:eastAsia="方正小标宋简体" w:cs="ArialUnicodeMS"/>
          <w:kern w:val="0"/>
          <w:sz w:val="52"/>
          <w:szCs w:val="52"/>
        </w:rPr>
      </w:pPr>
      <w:r>
        <w:rPr>
          <w:rFonts w:hint="eastAsia" w:ascii="方正小标宋简体" w:eastAsia="方正小标宋简体"/>
          <w:kern w:val="0"/>
          <w:sz w:val="52"/>
          <w:szCs w:val="52"/>
        </w:rPr>
        <w:t>202</w:t>
      </w:r>
      <w:r>
        <w:rPr>
          <w:rFonts w:hint="eastAsia" w:ascii="方正小标宋简体" w:eastAsia="方正小标宋简体"/>
          <w:kern w:val="0"/>
          <w:sz w:val="52"/>
          <w:szCs w:val="52"/>
          <w:lang w:val="en-US" w:eastAsia="zh-CN"/>
        </w:rPr>
        <w:t>5</w:t>
      </w:r>
      <w:r>
        <w:rPr>
          <w:rFonts w:hint="eastAsia" w:ascii="方正小标宋简体" w:eastAsia="方正小标宋简体" w:cs="ArialUnicodeMS"/>
          <w:kern w:val="0"/>
          <w:sz w:val="52"/>
          <w:szCs w:val="52"/>
        </w:rPr>
        <w:t>年度部门决算</w:t>
      </w:r>
    </w:p>
    <w:p w14:paraId="0A5810A5">
      <w:pPr>
        <w:rPr>
          <w:rFonts w:hint="eastAsia" w:ascii="方正小标宋简体" w:eastAsia="方正小标宋简体" w:cs="ArialUnicodeMS"/>
          <w:kern w:val="0"/>
          <w:sz w:val="84"/>
          <w:szCs w:val="84"/>
        </w:rPr>
      </w:pPr>
    </w:p>
    <w:p w14:paraId="51AB6D19">
      <w:pPr>
        <w:rPr>
          <w:rFonts w:hint="eastAsia" w:ascii="ArialUnicodeMS" w:eastAsia="ArialUnicodeMS" w:cs="ArialUnicodeMS"/>
          <w:kern w:val="0"/>
          <w:sz w:val="84"/>
          <w:szCs w:val="84"/>
        </w:rPr>
      </w:pPr>
    </w:p>
    <w:p w14:paraId="7F75236B">
      <w:pPr>
        <w:rPr>
          <w:rFonts w:hint="eastAsia" w:ascii="ArialUnicodeMS" w:eastAsia="ArialUnicodeMS" w:cs="ArialUnicodeMS"/>
          <w:kern w:val="0"/>
          <w:sz w:val="84"/>
          <w:szCs w:val="84"/>
        </w:rPr>
      </w:pPr>
    </w:p>
    <w:p w14:paraId="56895918">
      <w:pPr>
        <w:rPr>
          <w:rFonts w:hint="eastAsia" w:ascii="ArialUnicodeMS" w:eastAsia="ArialUnicodeMS" w:cs="ArialUnicodeMS"/>
          <w:kern w:val="0"/>
          <w:sz w:val="84"/>
          <w:szCs w:val="84"/>
        </w:rPr>
      </w:pPr>
    </w:p>
    <w:p w14:paraId="1AE0A92E">
      <w:pPr>
        <w:rPr>
          <w:rFonts w:hint="eastAsia" w:ascii="ArialUnicodeMS" w:eastAsia="ArialUnicodeMS" w:cs="ArialUnicodeMS"/>
          <w:kern w:val="0"/>
          <w:sz w:val="84"/>
          <w:szCs w:val="84"/>
        </w:rPr>
      </w:pPr>
    </w:p>
    <w:p w14:paraId="0EC49032">
      <w:pPr>
        <w:jc w:val="center"/>
        <w:rPr>
          <w:rFonts w:hint="eastAsia" w:ascii="黑体" w:eastAsia="黑体" w:cs="黑体"/>
          <w:kern w:val="0"/>
          <w:sz w:val="44"/>
          <w:szCs w:val="44"/>
        </w:rPr>
      </w:pPr>
    </w:p>
    <w:p w14:paraId="3F85C32F">
      <w:pPr>
        <w:jc w:val="center"/>
        <w:rPr>
          <w:rFonts w:hint="eastAsia" w:ascii="黑体" w:eastAsia="黑体" w:cs="黑体"/>
          <w:kern w:val="0"/>
          <w:sz w:val="44"/>
          <w:szCs w:val="44"/>
        </w:rPr>
      </w:pPr>
    </w:p>
    <w:p w14:paraId="453E0DEE">
      <w:pPr>
        <w:keepNext w:val="0"/>
        <w:keepLines w:val="0"/>
        <w:pageBreakBefore w:val="0"/>
        <w:widowControl w:val="0"/>
        <w:kinsoku/>
        <w:wordWrap/>
        <w:overflowPunct/>
        <w:topLinePunct w:val="0"/>
        <w:bidi w:val="0"/>
        <w:snapToGrid/>
        <w:spacing w:line="560" w:lineRule="exact"/>
        <w:ind w:firstLine="646"/>
        <w:jc w:val="center"/>
        <w:textAlignment w:val="auto"/>
        <w:rPr>
          <w:rFonts w:hint="eastAsia" w:ascii="方正小标宋简体" w:eastAsia="方正小标宋简体"/>
          <w:b w:val="0"/>
          <w:bCs/>
          <w:sz w:val="44"/>
          <w:szCs w:val="44"/>
        </w:rPr>
      </w:pPr>
      <w:r>
        <w:rPr>
          <w:rFonts w:hint="eastAsia" w:ascii="方正小标宋简体" w:eastAsia="方正小标宋简体"/>
          <w:b w:val="0"/>
          <w:bCs/>
          <w:sz w:val="44"/>
          <w:szCs w:val="44"/>
        </w:rPr>
        <w:t>目</w:t>
      </w:r>
      <w:r>
        <w:rPr>
          <w:rFonts w:hint="eastAsia" w:ascii="方正小标宋简体" w:eastAsia="方正小标宋简体"/>
          <w:b w:val="0"/>
          <w:bCs/>
          <w:sz w:val="44"/>
          <w:szCs w:val="44"/>
          <w:lang w:val="en-US" w:eastAsia="zh-CN"/>
        </w:rPr>
        <w:t xml:space="preserve">  </w:t>
      </w:r>
      <w:r>
        <w:rPr>
          <w:rFonts w:hint="eastAsia" w:ascii="方正小标宋简体" w:eastAsia="方正小标宋简体"/>
          <w:b w:val="0"/>
          <w:bCs/>
          <w:sz w:val="44"/>
          <w:szCs w:val="44"/>
        </w:rPr>
        <w:t>录</w:t>
      </w:r>
    </w:p>
    <w:p w14:paraId="07D8AB1A">
      <w:pPr>
        <w:keepNext w:val="0"/>
        <w:keepLines w:val="0"/>
        <w:pageBreakBefore w:val="0"/>
        <w:widowControl w:val="0"/>
        <w:kinsoku/>
        <w:wordWrap/>
        <w:overflowPunct/>
        <w:topLinePunct w:val="0"/>
        <w:bidi w:val="0"/>
        <w:snapToGrid/>
        <w:spacing w:line="560" w:lineRule="exact"/>
        <w:ind w:firstLine="645"/>
        <w:textAlignment w:val="auto"/>
        <w:rPr>
          <w:rFonts w:hint="eastAsia" w:ascii="仿宋_GB2312" w:eastAsia="仿宋_GB2312"/>
          <w:b/>
          <w:sz w:val="32"/>
          <w:szCs w:val="32"/>
        </w:rPr>
      </w:pPr>
    </w:p>
    <w:p w14:paraId="6405FC2D">
      <w:pPr>
        <w:keepNext w:val="0"/>
        <w:keepLines w:val="0"/>
        <w:pageBreakBefore w:val="0"/>
        <w:widowControl w:val="0"/>
        <w:kinsoku/>
        <w:wordWrap/>
        <w:overflowPunct/>
        <w:topLinePunct w:val="0"/>
        <w:bidi w:val="0"/>
        <w:snapToGrid/>
        <w:spacing w:line="560" w:lineRule="exact"/>
        <w:ind w:firstLine="645"/>
        <w:textAlignment w:val="auto"/>
        <w:rPr>
          <w:rFonts w:hint="eastAsia" w:ascii="黑体" w:hAnsi="黑体" w:eastAsia="黑体"/>
          <w:sz w:val="32"/>
          <w:szCs w:val="32"/>
        </w:rPr>
      </w:pPr>
      <w:r>
        <w:rPr>
          <w:rFonts w:hint="eastAsia" w:ascii="黑体" w:hAnsi="黑体" w:eastAsia="黑体"/>
          <w:sz w:val="32"/>
          <w:szCs w:val="32"/>
        </w:rPr>
        <w:t>第一部分：</w:t>
      </w:r>
      <w:r>
        <w:rPr>
          <w:rFonts w:hint="eastAsia" w:ascii="黑体" w:hAnsi="黑体" w:eastAsia="黑体"/>
          <w:bCs/>
          <w:color w:val="000000"/>
          <w:sz w:val="32"/>
          <w:szCs w:val="32"/>
          <w:u w:val="none"/>
        </w:rPr>
        <w:t>广西中医药大学</w:t>
      </w:r>
      <w:r>
        <w:rPr>
          <w:rFonts w:hint="eastAsia" w:ascii="黑体" w:hAnsi="黑体" w:eastAsia="黑体"/>
          <w:bCs/>
          <w:color w:val="000000"/>
          <w:sz w:val="32"/>
          <w:szCs w:val="32"/>
          <w:u w:val="none"/>
          <w:lang w:val="en-US" w:eastAsia="zh-CN"/>
        </w:rPr>
        <w:t>第二附属医院</w:t>
      </w:r>
      <w:r>
        <w:rPr>
          <w:rFonts w:hint="eastAsia" w:ascii="黑体" w:hAnsi="黑体" w:eastAsia="黑体"/>
          <w:sz w:val="32"/>
          <w:szCs w:val="32"/>
        </w:rPr>
        <w:t>概况</w:t>
      </w:r>
    </w:p>
    <w:p w14:paraId="0C0D7776">
      <w:pPr>
        <w:keepNext w:val="0"/>
        <w:keepLines w:val="0"/>
        <w:pageBreakBefore w:val="0"/>
        <w:widowControl w:val="0"/>
        <w:kinsoku/>
        <w:wordWrap/>
        <w:overflowPunct/>
        <w:topLinePunct w:val="0"/>
        <w:bidi w:val="0"/>
        <w:snapToGrid/>
        <w:spacing w:line="560" w:lineRule="exact"/>
        <w:ind w:firstLine="645"/>
        <w:textAlignment w:val="auto"/>
        <w:rPr>
          <w:rFonts w:hint="eastAsia" w:ascii="仿宋_GB2312" w:eastAsia="仿宋_GB2312"/>
          <w:sz w:val="32"/>
          <w:szCs w:val="32"/>
          <w:lang w:eastAsia="zh-CN"/>
        </w:rPr>
      </w:pPr>
      <w:r>
        <w:rPr>
          <w:rFonts w:hint="eastAsia" w:ascii="仿宋_GB2312" w:eastAsia="仿宋_GB2312"/>
          <w:sz w:val="32"/>
          <w:szCs w:val="32"/>
        </w:rPr>
        <w:t>一、</w:t>
      </w:r>
      <w:r>
        <w:rPr>
          <w:rFonts w:hint="eastAsia" w:ascii="仿宋_GB2312" w:eastAsia="仿宋_GB2312"/>
          <w:sz w:val="32"/>
          <w:szCs w:val="32"/>
          <w:lang w:eastAsia="zh-CN"/>
        </w:rPr>
        <w:t>本部门职责</w:t>
      </w:r>
    </w:p>
    <w:p w14:paraId="02BA6579">
      <w:pPr>
        <w:keepNext w:val="0"/>
        <w:keepLines w:val="0"/>
        <w:pageBreakBefore w:val="0"/>
        <w:widowControl w:val="0"/>
        <w:kinsoku/>
        <w:wordWrap/>
        <w:overflowPunct/>
        <w:topLinePunct w:val="0"/>
        <w:bidi w:val="0"/>
        <w:snapToGrid/>
        <w:spacing w:line="560" w:lineRule="exact"/>
        <w:ind w:firstLine="645"/>
        <w:textAlignment w:val="auto"/>
        <w:rPr>
          <w:rFonts w:hint="eastAsia" w:ascii="仿宋_GB2312" w:eastAsia="仿宋_GB2312"/>
          <w:sz w:val="32"/>
          <w:szCs w:val="32"/>
          <w:lang w:eastAsia="zh-CN"/>
        </w:rPr>
      </w:pPr>
      <w:r>
        <w:rPr>
          <w:rFonts w:hint="eastAsia" w:ascii="仿宋_GB2312" w:eastAsia="仿宋_GB2312"/>
          <w:sz w:val="32"/>
          <w:szCs w:val="32"/>
        </w:rPr>
        <w:t>二、</w:t>
      </w:r>
      <w:r>
        <w:rPr>
          <w:rFonts w:hint="eastAsia" w:ascii="仿宋_GB2312" w:eastAsia="仿宋_GB2312"/>
          <w:sz w:val="32"/>
          <w:szCs w:val="32"/>
          <w:lang w:eastAsia="zh-CN"/>
        </w:rPr>
        <w:t>机构设置情况</w:t>
      </w:r>
    </w:p>
    <w:p w14:paraId="03CAF339">
      <w:pPr>
        <w:keepNext w:val="0"/>
        <w:keepLines w:val="0"/>
        <w:pageBreakBefore w:val="0"/>
        <w:widowControl w:val="0"/>
        <w:kinsoku/>
        <w:wordWrap/>
        <w:overflowPunct/>
        <w:topLinePunct w:val="0"/>
        <w:bidi w:val="0"/>
        <w:snapToGrid/>
        <w:spacing w:line="560" w:lineRule="exact"/>
        <w:ind w:firstLine="645"/>
        <w:textAlignment w:val="auto"/>
        <w:rPr>
          <w:rFonts w:hint="eastAsia" w:ascii="黑体" w:hAnsi="黑体" w:eastAsia="黑体"/>
          <w:sz w:val="32"/>
          <w:szCs w:val="32"/>
        </w:rPr>
      </w:pPr>
      <w:r>
        <w:rPr>
          <w:rFonts w:hint="eastAsia" w:ascii="黑体" w:hAnsi="黑体" w:eastAsia="黑体"/>
          <w:sz w:val="32"/>
          <w:szCs w:val="32"/>
        </w:rPr>
        <w:t>第二部分：</w:t>
      </w:r>
      <w:r>
        <w:rPr>
          <w:rFonts w:hint="eastAsia" w:ascii="黑体" w:hAnsi="黑体" w:eastAsia="黑体"/>
          <w:bCs/>
          <w:color w:val="000000"/>
          <w:sz w:val="32"/>
          <w:szCs w:val="32"/>
          <w:u w:val="none"/>
        </w:rPr>
        <w:t>广西中医药大学</w:t>
      </w:r>
      <w:r>
        <w:rPr>
          <w:rFonts w:hint="eastAsia" w:ascii="黑体" w:hAnsi="黑体" w:eastAsia="黑体"/>
          <w:bCs/>
          <w:color w:val="000000"/>
          <w:sz w:val="32"/>
          <w:szCs w:val="32"/>
          <w:u w:val="none"/>
          <w:lang w:val="en-US" w:eastAsia="zh-CN"/>
        </w:rPr>
        <w:t>第二附属</w:t>
      </w:r>
      <w:r>
        <w:rPr>
          <w:rFonts w:hint="eastAsia" w:ascii="黑体" w:hAnsi="黑体" w:eastAsia="黑体"/>
          <w:bCs/>
          <w:color w:val="000000"/>
          <w:sz w:val="32"/>
          <w:szCs w:val="32"/>
          <w:u w:val="none"/>
        </w:rPr>
        <w:t>医院</w:t>
      </w:r>
      <w:r>
        <w:rPr>
          <w:rFonts w:hint="eastAsia" w:ascii="黑体" w:hAnsi="黑体" w:eastAsia="黑体"/>
          <w:sz w:val="32"/>
          <w:szCs w:val="32"/>
        </w:rPr>
        <w:t>202</w:t>
      </w:r>
      <w:r>
        <w:rPr>
          <w:rFonts w:hint="eastAsia" w:ascii="黑体" w:hAnsi="黑体" w:eastAsia="黑体"/>
          <w:sz w:val="32"/>
          <w:szCs w:val="32"/>
          <w:lang w:val="en-US" w:eastAsia="zh-CN"/>
        </w:rPr>
        <w:t>5</w:t>
      </w:r>
      <w:r>
        <w:rPr>
          <w:rFonts w:hint="eastAsia" w:ascii="黑体" w:hAnsi="黑体" w:eastAsia="黑体"/>
          <w:sz w:val="32"/>
          <w:szCs w:val="32"/>
        </w:rPr>
        <w:t>年度部门决算报表</w:t>
      </w:r>
    </w:p>
    <w:p w14:paraId="31BF7110">
      <w:pPr>
        <w:keepNext w:val="0"/>
        <w:keepLines w:val="0"/>
        <w:pageBreakBefore w:val="0"/>
        <w:widowControl w:val="0"/>
        <w:kinsoku/>
        <w:wordWrap/>
        <w:overflowPunct/>
        <w:topLinePunct w:val="0"/>
        <w:bidi w:val="0"/>
        <w:snapToGrid/>
        <w:spacing w:line="560" w:lineRule="exact"/>
        <w:ind w:left="645"/>
        <w:textAlignment w:val="auto"/>
        <w:rPr>
          <w:rFonts w:hint="eastAsia" w:ascii="仿宋_GB2312" w:eastAsia="仿宋_GB2312"/>
          <w:sz w:val="32"/>
          <w:szCs w:val="32"/>
        </w:rPr>
      </w:pPr>
      <w:r>
        <w:rPr>
          <w:rFonts w:hint="eastAsia" w:ascii="仿宋_GB2312" w:eastAsia="仿宋_GB2312"/>
          <w:sz w:val="32"/>
          <w:szCs w:val="32"/>
        </w:rPr>
        <w:t>表一：收入支出决算总表</w:t>
      </w:r>
    </w:p>
    <w:p w14:paraId="7402B35E">
      <w:pPr>
        <w:keepNext w:val="0"/>
        <w:keepLines w:val="0"/>
        <w:pageBreakBefore w:val="0"/>
        <w:widowControl w:val="0"/>
        <w:kinsoku/>
        <w:wordWrap/>
        <w:overflowPunct/>
        <w:topLinePunct w:val="0"/>
        <w:bidi w:val="0"/>
        <w:snapToGrid/>
        <w:spacing w:line="560" w:lineRule="exact"/>
        <w:ind w:left="645"/>
        <w:textAlignment w:val="auto"/>
        <w:rPr>
          <w:rFonts w:hint="eastAsia" w:ascii="仿宋_GB2312" w:eastAsia="仿宋_GB2312"/>
          <w:sz w:val="32"/>
          <w:szCs w:val="32"/>
        </w:rPr>
      </w:pPr>
      <w:r>
        <w:rPr>
          <w:rFonts w:hint="eastAsia" w:ascii="仿宋_GB2312" w:eastAsia="仿宋_GB2312"/>
          <w:sz w:val="32"/>
          <w:szCs w:val="32"/>
        </w:rPr>
        <w:t>表二：收入决算表</w:t>
      </w:r>
    </w:p>
    <w:p w14:paraId="3E880D76">
      <w:pPr>
        <w:keepNext w:val="0"/>
        <w:keepLines w:val="0"/>
        <w:pageBreakBefore w:val="0"/>
        <w:widowControl w:val="0"/>
        <w:kinsoku/>
        <w:wordWrap/>
        <w:overflowPunct/>
        <w:topLinePunct w:val="0"/>
        <w:bidi w:val="0"/>
        <w:snapToGrid/>
        <w:spacing w:line="560" w:lineRule="exact"/>
        <w:ind w:left="645"/>
        <w:textAlignment w:val="auto"/>
        <w:rPr>
          <w:rFonts w:hint="eastAsia" w:ascii="仿宋_GB2312" w:eastAsia="仿宋_GB2312"/>
          <w:sz w:val="32"/>
          <w:szCs w:val="32"/>
        </w:rPr>
      </w:pPr>
      <w:r>
        <w:rPr>
          <w:rFonts w:hint="eastAsia" w:ascii="仿宋_GB2312" w:eastAsia="仿宋_GB2312"/>
          <w:sz w:val="32"/>
          <w:szCs w:val="32"/>
        </w:rPr>
        <w:t>表三：支出决算表</w:t>
      </w:r>
    </w:p>
    <w:p w14:paraId="37364EC3">
      <w:pPr>
        <w:keepNext w:val="0"/>
        <w:keepLines w:val="0"/>
        <w:pageBreakBefore w:val="0"/>
        <w:widowControl w:val="0"/>
        <w:kinsoku/>
        <w:wordWrap/>
        <w:overflowPunct/>
        <w:topLinePunct w:val="0"/>
        <w:bidi w:val="0"/>
        <w:snapToGrid/>
        <w:spacing w:line="560" w:lineRule="exact"/>
        <w:ind w:left="645"/>
        <w:textAlignment w:val="auto"/>
        <w:rPr>
          <w:rFonts w:hint="eastAsia" w:ascii="仿宋_GB2312" w:eastAsia="仿宋_GB2312"/>
          <w:sz w:val="32"/>
          <w:szCs w:val="32"/>
        </w:rPr>
      </w:pPr>
      <w:r>
        <w:rPr>
          <w:rFonts w:hint="eastAsia" w:ascii="仿宋_GB2312" w:eastAsia="仿宋_GB2312"/>
          <w:sz w:val="32"/>
          <w:szCs w:val="32"/>
        </w:rPr>
        <w:t>表四：财政拨款收入支出决算总表</w:t>
      </w:r>
    </w:p>
    <w:p w14:paraId="4B156D59">
      <w:pPr>
        <w:keepNext w:val="0"/>
        <w:keepLines w:val="0"/>
        <w:pageBreakBefore w:val="0"/>
        <w:widowControl w:val="0"/>
        <w:kinsoku/>
        <w:wordWrap/>
        <w:overflowPunct/>
        <w:topLinePunct w:val="0"/>
        <w:bidi w:val="0"/>
        <w:snapToGrid/>
        <w:spacing w:line="560" w:lineRule="exact"/>
        <w:ind w:left="645"/>
        <w:textAlignment w:val="auto"/>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5536D577">
      <w:pPr>
        <w:keepNext w:val="0"/>
        <w:keepLines w:val="0"/>
        <w:pageBreakBefore w:val="0"/>
        <w:widowControl w:val="0"/>
        <w:kinsoku/>
        <w:wordWrap/>
        <w:overflowPunct/>
        <w:topLinePunct w:val="0"/>
        <w:bidi w:val="0"/>
        <w:snapToGrid/>
        <w:spacing w:line="560" w:lineRule="exact"/>
        <w:ind w:left="645"/>
        <w:textAlignment w:val="auto"/>
        <w:rPr>
          <w:rFonts w:hint="eastAsia" w:ascii="仿宋_GB2312" w:eastAsia="仿宋_GB2312"/>
          <w:sz w:val="32"/>
          <w:szCs w:val="32"/>
        </w:rPr>
      </w:pPr>
      <w:r>
        <w:rPr>
          <w:rFonts w:hint="eastAsia" w:ascii="仿宋_GB2312" w:eastAsia="仿宋_GB2312"/>
          <w:sz w:val="32"/>
          <w:szCs w:val="32"/>
        </w:rPr>
        <w:t>表六：一般公共预算财政拨款基本支出决算明细表</w:t>
      </w:r>
    </w:p>
    <w:p w14:paraId="452D5195">
      <w:pPr>
        <w:keepNext w:val="0"/>
        <w:keepLines w:val="0"/>
        <w:pageBreakBefore w:val="0"/>
        <w:widowControl w:val="0"/>
        <w:kinsoku/>
        <w:wordWrap/>
        <w:overflowPunct/>
        <w:topLinePunct w:val="0"/>
        <w:bidi w:val="0"/>
        <w:snapToGrid/>
        <w:spacing w:line="560" w:lineRule="exact"/>
        <w:ind w:left="645"/>
        <w:textAlignment w:val="auto"/>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206E9BB8">
      <w:pPr>
        <w:keepNext w:val="0"/>
        <w:keepLines w:val="0"/>
        <w:pageBreakBefore w:val="0"/>
        <w:widowControl w:val="0"/>
        <w:kinsoku/>
        <w:wordWrap/>
        <w:overflowPunct/>
        <w:topLinePunct w:val="0"/>
        <w:bidi w:val="0"/>
        <w:snapToGrid/>
        <w:spacing w:line="560" w:lineRule="exact"/>
        <w:ind w:left="645"/>
        <w:textAlignment w:val="auto"/>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支出决算表</w:t>
      </w:r>
    </w:p>
    <w:p w14:paraId="2039A5D1">
      <w:pPr>
        <w:keepNext w:val="0"/>
        <w:keepLines w:val="0"/>
        <w:pageBreakBefore w:val="0"/>
        <w:widowControl w:val="0"/>
        <w:kinsoku/>
        <w:wordWrap/>
        <w:overflowPunct/>
        <w:topLinePunct w:val="0"/>
        <w:bidi w:val="0"/>
        <w:snapToGrid/>
        <w:spacing w:line="560" w:lineRule="exact"/>
        <w:ind w:firstLine="645"/>
        <w:textAlignment w:val="auto"/>
        <w:rPr>
          <w:rFonts w:hint="eastAsia" w:ascii="黑体" w:hAnsi="黑体" w:eastAsia="黑体"/>
          <w:sz w:val="32"/>
          <w:szCs w:val="32"/>
        </w:rPr>
      </w:pPr>
      <w:r>
        <w:rPr>
          <w:rFonts w:hint="eastAsia" w:ascii="黑体" w:hAnsi="黑体" w:eastAsia="黑体"/>
          <w:sz w:val="32"/>
          <w:szCs w:val="32"/>
        </w:rPr>
        <w:t>第三部分：</w:t>
      </w:r>
      <w:r>
        <w:rPr>
          <w:rFonts w:hint="eastAsia" w:ascii="黑体" w:hAnsi="黑体" w:eastAsia="黑体"/>
          <w:bCs/>
          <w:color w:val="000000"/>
          <w:sz w:val="32"/>
          <w:szCs w:val="32"/>
          <w:u w:val="none"/>
        </w:rPr>
        <w:t>广西中医药大学</w:t>
      </w:r>
      <w:r>
        <w:rPr>
          <w:rFonts w:hint="eastAsia" w:ascii="黑体" w:hAnsi="黑体" w:eastAsia="黑体"/>
          <w:bCs/>
          <w:color w:val="000000"/>
          <w:sz w:val="32"/>
          <w:szCs w:val="32"/>
          <w:u w:val="none"/>
          <w:lang w:val="en-US" w:eastAsia="zh-CN"/>
        </w:rPr>
        <w:t>第二附属</w:t>
      </w:r>
      <w:r>
        <w:rPr>
          <w:rFonts w:hint="eastAsia" w:ascii="黑体" w:hAnsi="黑体" w:eastAsia="黑体"/>
          <w:bCs/>
          <w:color w:val="000000"/>
          <w:sz w:val="32"/>
          <w:szCs w:val="32"/>
          <w:u w:val="none"/>
        </w:rPr>
        <w:t>医院</w:t>
      </w:r>
      <w:r>
        <w:rPr>
          <w:rFonts w:hint="eastAsia" w:ascii="黑体" w:hAnsi="黑体" w:eastAsia="黑体"/>
          <w:sz w:val="32"/>
          <w:szCs w:val="32"/>
        </w:rPr>
        <w:t>202</w:t>
      </w:r>
      <w:r>
        <w:rPr>
          <w:rFonts w:hint="eastAsia" w:ascii="黑体" w:hAnsi="黑体" w:eastAsia="黑体"/>
          <w:sz w:val="32"/>
          <w:szCs w:val="32"/>
          <w:lang w:val="en-US" w:eastAsia="zh-CN"/>
        </w:rPr>
        <w:t>5</w:t>
      </w:r>
      <w:r>
        <w:rPr>
          <w:rFonts w:hint="eastAsia" w:ascii="黑体" w:hAnsi="黑体" w:eastAsia="黑体"/>
          <w:sz w:val="32"/>
          <w:szCs w:val="32"/>
        </w:rPr>
        <w:t>年度部门决算情况说明</w:t>
      </w:r>
    </w:p>
    <w:p w14:paraId="3813037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54D9F41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32E356C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三、202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年度一般公共预算财政拨款基本支出决算情况说明。</w:t>
      </w:r>
    </w:p>
    <w:p w14:paraId="4EB8AEB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15AC780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五、202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p>
    <w:p w14:paraId="3E35F78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4B3B9CA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27A094F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4D9F62A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黑体" w:hAnsi="黑体" w:eastAsia="黑体" w:cs="仿宋_GB2312"/>
          <w:kern w:val="0"/>
          <w:sz w:val="32"/>
          <w:szCs w:val="32"/>
        </w:rPr>
      </w:pPr>
      <w:r>
        <w:rPr>
          <w:rFonts w:hint="eastAsia" w:ascii="黑体" w:hAnsi="黑体" w:eastAsia="黑体" w:cs="仿宋_GB2312"/>
          <w:kern w:val="0"/>
          <w:sz w:val="32"/>
          <w:szCs w:val="32"/>
        </w:rPr>
        <w:t>第四</w:t>
      </w:r>
      <w:bookmarkStart w:id="0" w:name="_GoBack"/>
      <w:bookmarkEnd w:id="0"/>
      <w:r>
        <w:rPr>
          <w:rFonts w:hint="eastAsia" w:ascii="黑体" w:hAnsi="黑体" w:eastAsia="黑体" w:cs="仿宋_GB2312"/>
          <w:kern w:val="0"/>
          <w:sz w:val="32"/>
          <w:szCs w:val="32"/>
        </w:rPr>
        <w:t>部分：名词解释</w:t>
      </w:r>
    </w:p>
    <w:p w14:paraId="3BE91774">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eastAsia="仿宋_GB2312"/>
        </w:rPr>
      </w:pPr>
    </w:p>
    <w:p w14:paraId="7FCE31D0">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377FDF9D">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50B71CCE">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0827E00F">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1748F322">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4543C97F">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6B4EA4B5">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62A54BFD">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00451E98">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21BB07C7">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43A82A9F">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63BBD0F8">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1E80080D">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63083657">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6395715D">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37004B75">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1587A829">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76C767DE">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46F3E117">
      <w:pPr>
        <w:keepNext w:val="0"/>
        <w:keepLines w:val="0"/>
        <w:pageBreakBefore w:val="0"/>
        <w:widowControl w:val="0"/>
        <w:kinsoku/>
        <w:wordWrap/>
        <w:overflowPunct/>
        <w:topLinePunct w:val="0"/>
        <w:bidi w:val="0"/>
        <w:snapToGrid/>
        <w:spacing w:line="560" w:lineRule="exact"/>
        <w:textAlignment w:val="auto"/>
        <w:rPr>
          <w:rFonts w:hint="eastAsia" w:ascii="仿宋_GB2312" w:eastAsia="仿宋_GB2312"/>
          <w:b/>
          <w:sz w:val="32"/>
          <w:szCs w:val="32"/>
        </w:rPr>
      </w:pPr>
    </w:p>
    <w:p w14:paraId="3D7F3D79">
      <w:pPr>
        <w:keepNext w:val="0"/>
        <w:keepLines w:val="0"/>
        <w:pageBreakBefore w:val="0"/>
        <w:widowControl w:val="0"/>
        <w:kinsoku/>
        <w:wordWrap/>
        <w:overflowPunct/>
        <w:topLinePunct w:val="0"/>
        <w:bidi w:val="0"/>
        <w:snapToGrid/>
        <w:spacing w:line="560" w:lineRule="exact"/>
        <w:ind w:firstLine="646"/>
        <w:jc w:val="both"/>
        <w:textAlignment w:val="auto"/>
        <w:rPr>
          <w:rFonts w:hint="eastAsia"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rPr>
        <w:t>第一部分：</w:t>
      </w:r>
      <w:r>
        <w:rPr>
          <w:rFonts w:hint="eastAsia" w:ascii="黑体" w:hAnsi="黑体" w:eastAsia="黑体"/>
          <w:bCs/>
          <w:color w:val="000000"/>
          <w:sz w:val="32"/>
          <w:szCs w:val="32"/>
          <w:u w:val="none"/>
        </w:rPr>
        <w:t>广西中医药大学</w:t>
      </w:r>
      <w:r>
        <w:rPr>
          <w:rFonts w:hint="eastAsia" w:ascii="黑体" w:hAnsi="黑体" w:eastAsia="黑体"/>
          <w:bCs/>
          <w:color w:val="000000"/>
          <w:sz w:val="32"/>
          <w:szCs w:val="32"/>
          <w:u w:val="none"/>
          <w:lang w:val="en-US" w:eastAsia="zh-CN"/>
        </w:rPr>
        <w:t>第二附属医院</w:t>
      </w:r>
      <w:r>
        <w:rPr>
          <w:rFonts w:hint="eastAsia" w:ascii="黑体" w:hAnsi="黑体" w:eastAsia="黑体"/>
          <w:sz w:val="32"/>
          <w:szCs w:val="32"/>
        </w:rPr>
        <w:t>概况</w:t>
      </w:r>
    </w:p>
    <w:p w14:paraId="0419D93B">
      <w:pPr>
        <w:keepNext w:val="0"/>
        <w:keepLines w:val="0"/>
        <w:pageBreakBefore w:val="0"/>
        <w:widowControl w:val="0"/>
        <w:kinsoku/>
        <w:wordWrap/>
        <w:overflowPunct/>
        <w:topLinePunct w:val="0"/>
        <w:bidi w:val="0"/>
        <w:snapToGrid/>
        <w:spacing w:line="560" w:lineRule="exact"/>
        <w:ind w:firstLine="646"/>
        <w:textAlignment w:val="auto"/>
        <w:rPr>
          <w:rFonts w:hint="eastAsia" w:ascii="黑体" w:hAnsi="黑体" w:eastAsia="黑体"/>
          <w:sz w:val="32"/>
          <w:szCs w:val="32"/>
        </w:rPr>
      </w:pPr>
    </w:p>
    <w:p w14:paraId="24A05A83">
      <w:pPr>
        <w:keepNext w:val="0"/>
        <w:keepLines w:val="0"/>
        <w:pageBreakBefore w:val="0"/>
        <w:widowControl w:val="0"/>
        <w:kinsoku/>
        <w:wordWrap/>
        <w:overflowPunct/>
        <w:topLinePunct w:val="0"/>
        <w:bidi w:val="0"/>
        <w:snapToGrid/>
        <w:spacing w:line="560" w:lineRule="exact"/>
        <w:ind w:firstLine="646"/>
        <w:textAlignment w:val="auto"/>
        <w:rPr>
          <w:rFonts w:hint="eastAsia" w:ascii="黑体" w:hAnsi="黑体" w:eastAsia="黑体"/>
          <w:sz w:val="32"/>
          <w:szCs w:val="32"/>
          <w:lang w:eastAsia="zh-CN"/>
        </w:rPr>
      </w:pPr>
      <w:r>
        <w:rPr>
          <w:rFonts w:hint="eastAsia" w:ascii="黑体" w:hAnsi="黑体" w:eastAsia="黑体"/>
          <w:sz w:val="32"/>
          <w:szCs w:val="32"/>
        </w:rPr>
        <w:t>一、</w:t>
      </w:r>
      <w:r>
        <w:rPr>
          <w:rFonts w:hint="eastAsia" w:ascii="黑体" w:hAnsi="黑体" w:eastAsia="黑体"/>
          <w:sz w:val="32"/>
          <w:szCs w:val="32"/>
          <w:lang w:eastAsia="zh-CN"/>
        </w:rPr>
        <w:t>本部门职责</w:t>
      </w:r>
    </w:p>
    <w:p w14:paraId="43B9EE09">
      <w:pPr>
        <w:ind w:firstLine="646"/>
        <w:rPr>
          <w:rFonts w:hint="eastAsia" w:ascii="仿宋" w:hAnsi="仿宋" w:eastAsia="仿宋" w:cs="仿宋"/>
          <w:sz w:val="32"/>
          <w:szCs w:val="32"/>
        </w:rPr>
      </w:pPr>
      <w:r>
        <w:rPr>
          <w:rFonts w:hint="eastAsia" w:ascii="仿宋" w:hAnsi="仿宋" w:eastAsia="仿宋" w:cs="仿宋"/>
          <w:sz w:val="32"/>
          <w:szCs w:val="32"/>
        </w:rPr>
        <w:t>为人民身体健康提供医疗与预防保健服务。按照《医疗机构执业许可证》的规定从事相关疾病诊断、治疗以及临床教学、见习、实习等活动。</w:t>
      </w:r>
    </w:p>
    <w:p w14:paraId="2DBCA5DA">
      <w:pPr>
        <w:keepNext w:val="0"/>
        <w:keepLines w:val="0"/>
        <w:pageBreakBefore w:val="0"/>
        <w:widowControl w:val="0"/>
        <w:kinsoku/>
        <w:wordWrap/>
        <w:overflowPunct/>
        <w:topLinePunct w:val="0"/>
        <w:bidi w:val="0"/>
        <w:snapToGrid/>
        <w:spacing w:line="560" w:lineRule="exact"/>
        <w:ind w:firstLine="646"/>
        <w:textAlignment w:val="auto"/>
        <w:rPr>
          <w:rFonts w:hint="eastAsia"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机构设置情况</w:t>
      </w:r>
    </w:p>
    <w:p w14:paraId="59A4CD1C">
      <w:pPr>
        <w:keepNext w:val="0"/>
        <w:keepLines w:val="0"/>
        <w:pageBreakBefore w:val="0"/>
        <w:widowControl w:val="0"/>
        <w:kinsoku/>
        <w:wordWrap/>
        <w:overflowPunct/>
        <w:topLinePunct w:val="0"/>
        <w:bidi w:val="0"/>
        <w:snapToGrid/>
        <w:spacing w:line="560" w:lineRule="exact"/>
        <w:ind w:firstLine="645"/>
        <w:textAlignment w:val="auto"/>
        <w:rPr>
          <w:rFonts w:hint="eastAsia" w:ascii="仿宋" w:hAnsi="仿宋" w:eastAsia="仿宋" w:cs="仿宋"/>
          <w:sz w:val="32"/>
          <w:szCs w:val="32"/>
        </w:rPr>
      </w:pPr>
      <w:r>
        <w:rPr>
          <w:rFonts w:hint="eastAsia" w:ascii="仿宋" w:hAnsi="仿宋" w:eastAsia="仿宋" w:cs="仿宋"/>
          <w:sz w:val="32"/>
          <w:szCs w:val="32"/>
        </w:rPr>
        <w:t>现有临床科室55个，医技科室14个，社区卫生服务中心2个。有国家临床重点专科5个（骨伤科、脾胃病科、肝病科、肿瘤科，护理学）；国家中西医协同“旗舰”科室3个（肿瘤科、骨伤科、脾胃病科）；国家中医药管理局重点学科7个（中西医结合临床、中医骨伤科学、中医皮肤病学、中医老年病学、中医传染病学、中医预防医学、中医全科医学）；国家中医药管理局重点专科9个（骨伤科、脑病科、脾胃病科、肿瘤科、心血管科、肝病科、妇（产）科、重症医学科、护理学）；国家中医药管理局重点研究室1个（中医整脊疗法）；自治区重点学科3个；广西临床重点专科8个；自治区中医药管理局重点学科17个；自治区中医药管理局重点专科10个；广西区域中医诊疗中心3个；广西临床医学研究中心1个；自治区中医专业医疗质控中心10个。医院坚持以病人的健康和生命安全为中心，全周期为人民群众的健康提供更加优质、便捷、安全、高效和透明的医疗保健服务，切实增强患者看病就医的获得感。未来，医院将秉承“衷中参西 厚德精医”的院训，坚持中西医并重，平衡协调快速发展的办院方向，立足于把医院建成现代医学技术先进，中医药特色鲜明，中西医结合优势突出，全国一流，集医疗、教学、科研、预防保健、养生康复为一体的高水平国家中西医协同“旗舰”医院。</w:t>
      </w:r>
    </w:p>
    <w:p w14:paraId="4A6401DF">
      <w:pPr>
        <w:keepNext w:val="0"/>
        <w:keepLines w:val="0"/>
        <w:pageBreakBefore w:val="0"/>
        <w:widowControl w:val="0"/>
        <w:kinsoku/>
        <w:wordWrap/>
        <w:overflowPunct/>
        <w:topLinePunct w:val="0"/>
        <w:bidi w:val="0"/>
        <w:snapToGrid/>
        <w:spacing w:line="560" w:lineRule="exact"/>
        <w:ind w:firstLine="645"/>
        <w:textAlignment w:val="auto"/>
        <w:rPr>
          <w:rFonts w:hint="eastAsia" w:ascii="仿宋_GB2312" w:eastAsia="仿宋_GB2312"/>
          <w:sz w:val="32"/>
          <w:szCs w:val="32"/>
        </w:rPr>
      </w:pPr>
    </w:p>
    <w:p w14:paraId="7FE6F3FE">
      <w:pPr>
        <w:keepNext w:val="0"/>
        <w:keepLines w:val="0"/>
        <w:pageBreakBefore w:val="0"/>
        <w:widowControl w:val="0"/>
        <w:kinsoku/>
        <w:wordWrap/>
        <w:overflowPunct/>
        <w:topLinePunct w:val="0"/>
        <w:bidi w:val="0"/>
        <w:snapToGrid/>
        <w:spacing w:line="560" w:lineRule="exact"/>
        <w:jc w:val="center"/>
        <w:textAlignment w:val="auto"/>
        <w:rPr>
          <w:rFonts w:hint="eastAsia"/>
        </w:rPr>
      </w:pPr>
    </w:p>
    <w:p w14:paraId="4F4D5CFA">
      <w:pPr>
        <w:keepNext w:val="0"/>
        <w:keepLines w:val="0"/>
        <w:pageBreakBefore w:val="0"/>
        <w:widowControl w:val="0"/>
        <w:kinsoku/>
        <w:wordWrap/>
        <w:overflowPunct/>
        <w:topLinePunct w:val="0"/>
        <w:bidi w:val="0"/>
        <w:snapToGrid/>
        <w:spacing w:line="560" w:lineRule="exact"/>
        <w:jc w:val="center"/>
        <w:textAlignment w:val="auto"/>
      </w:pPr>
    </w:p>
    <w:p w14:paraId="33D13DC4">
      <w:pPr>
        <w:keepNext w:val="0"/>
        <w:keepLines w:val="0"/>
        <w:pageBreakBefore w:val="0"/>
        <w:widowControl w:val="0"/>
        <w:kinsoku/>
        <w:wordWrap/>
        <w:overflowPunct/>
        <w:topLinePunct w:val="0"/>
        <w:bidi w:val="0"/>
        <w:snapToGrid/>
        <w:spacing w:line="560" w:lineRule="exact"/>
        <w:jc w:val="both"/>
        <w:textAlignment w:val="auto"/>
      </w:pPr>
    </w:p>
    <w:p w14:paraId="3E494B85">
      <w:pPr>
        <w:keepNext w:val="0"/>
        <w:keepLines w:val="0"/>
        <w:pageBreakBefore w:val="0"/>
        <w:widowControl w:val="0"/>
        <w:kinsoku/>
        <w:wordWrap/>
        <w:overflowPunct/>
        <w:topLinePunct w:val="0"/>
        <w:bidi w:val="0"/>
        <w:snapToGrid/>
        <w:spacing w:line="560" w:lineRule="exact"/>
        <w:jc w:val="center"/>
        <w:textAlignment w:val="auto"/>
      </w:pPr>
    </w:p>
    <w:p w14:paraId="4BE32C19">
      <w:pPr>
        <w:keepNext w:val="0"/>
        <w:keepLines w:val="0"/>
        <w:pageBreakBefore w:val="0"/>
        <w:widowControl w:val="0"/>
        <w:kinsoku/>
        <w:wordWrap/>
        <w:overflowPunct/>
        <w:topLinePunct w:val="0"/>
        <w:bidi w:val="0"/>
        <w:snapToGrid/>
        <w:spacing w:line="560" w:lineRule="exact"/>
        <w:jc w:val="center"/>
        <w:textAlignment w:val="auto"/>
      </w:pPr>
    </w:p>
    <w:p w14:paraId="6DFEDD56">
      <w:pPr>
        <w:keepNext w:val="0"/>
        <w:keepLines w:val="0"/>
        <w:pageBreakBefore w:val="0"/>
        <w:widowControl w:val="0"/>
        <w:kinsoku/>
        <w:wordWrap/>
        <w:overflowPunct/>
        <w:topLinePunct w:val="0"/>
        <w:bidi w:val="0"/>
        <w:snapToGrid/>
        <w:spacing w:line="560" w:lineRule="exact"/>
        <w:jc w:val="center"/>
        <w:textAlignment w:val="auto"/>
      </w:pPr>
    </w:p>
    <w:p w14:paraId="699437BD">
      <w:pPr>
        <w:keepNext w:val="0"/>
        <w:keepLines w:val="0"/>
        <w:pageBreakBefore w:val="0"/>
        <w:widowControl w:val="0"/>
        <w:kinsoku/>
        <w:wordWrap/>
        <w:overflowPunct/>
        <w:topLinePunct w:val="0"/>
        <w:bidi w:val="0"/>
        <w:snapToGrid/>
        <w:spacing w:line="560" w:lineRule="exact"/>
        <w:jc w:val="center"/>
        <w:textAlignment w:val="auto"/>
      </w:pPr>
    </w:p>
    <w:p w14:paraId="0DD7B287">
      <w:pPr>
        <w:keepNext w:val="0"/>
        <w:keepLines w:val="0"/>
        <w:pageBreakBefore w:val="0"/>
        <w:widowControl w:val="0"/>
        <w:kinsoku/>
        <w:wordWrap/>
        <w:overflowPunct/>
        <w:topLinePunct w:val="0"/>
        <w:bidi w:val="0"/>
        <w:snapToGrid/>
        <w:spacing w:line="560" w:lineRule="exact"/>
        <w:jc w:val="left"/>
        <w:textAlignment w:val="auto"/>
        <w:rPr>
          <w:rFonts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lang w:val="en-US" w:eastAsia="zh-CN"/>
        </w:rPr>
        <w:t xml:space="preserve">    </w:t>
      </w:r>
      <w:r>
        <w:rPr>
          <w:rFonts w:hint="eastAsia" w:ascii="黑体" w:hAnsi="黑体" w:eastAsia="黑体"/>
          <w:sz w:val="32"/>
          <w:szCs w:val="32"/>
        </w:rPr>
        <w:t>第二部分：</w:t>
      </w:r>
      <w:r>
        <w:rPr>
          <w:rFonts w:hint="eastAsia" w:ascii="黑体" w:hAnsi="黑体" w:eastAsia="黑体"/>
          <w:bCs/>
          <w:color w:val="000000"/>
          <w:sz w:val="32"/>
          <w:szCs w:val="32"/>
          <w:u w:val="none"/>
        </w:rPr>
        <w:t>广西中医药大学</w:t>
      </w:r>
      <w:r>
        <w:rPr>
          <w:rFonts w:hint="eastAsia" w:ascii="黑体" w:hAnsi="黑体" w:eastAsia="黑体"/>
          <w:bCs/>
          <w:color w:val="000000"/>
          <w:sz w:val="32"/>
          <w:szCs w:val="32"/>
          <w:u w:val="none"/>
          <w:lang w:val="en-US" w:eastAsia="zh-CN"/>
        </w:rPr>
        <w:t>第二附属</w:t>
      </w:r>
      <w:r>
        <w:rPr>
          <w:rFonts w:hint="eastAsia" w:ascii="黑体" w:hAnsi="黑体" w:eastAsia="黑体"/>
          <w:bCs/>
          <w:color w:val="000000"/>
          <w:sz w:val="32"/>
          <w:szCs w:val="32"/>
          <w:u w:val="none"/>
        </w:rPr>
        <w:t>医院</w:t>
      </w:r>
      <w:r>
        <w:rPr>
          <w:rFonts w:hint="eastAsia" w:ascii="黑体" w:hAnsi="黑体" w:eastAsia="黑体"/>
          <w:sz w:val="32"/>
          <w:szCs w:val="32"/>
        </w:rPr>
        <w:t>202</w:t>
      </w:r>
      <w:r>
        <w:rPr>
          <w:rFonts w:hint="eastAsia" w:ascii="黑体" w:hAnsi="黑体" w:eastAsia="黑体"/>
          <w:sz w:val="32"/>
          <w:szCs w:val="32"/>
          <w:lang w:val="en-US" w:eastAsia="zh-CN"/>
        </w:rPr>
        <w:t>5</w:t>
      </w:r>
      <w:r>
        <w:rPr>
          <w:rFonts w:hint="eastAsia" w:ascii="黑体" w:hAnsi="黑体" w:eastAsia="黑体"/>
          <w:sz w:val="32"/>
          <w:szCs w:val="32"/>
        </w:rPr>
        <w:t>年度部门决算报表</w:t>
      </w:r>
    </w:p>
    <w:p w14:paraId="57DEA254">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黑体" w:eastAsia="仿宋_GB2312"/>
          <w:sz w:val="32"/>
          <w:szCs w:val="32"/>
        </w:rPr>
      </w:pPr>
    </w:p>
    <w:p w14:paraId="5B600BFA">
      <w:pPr>
        <w:ind w:firstLine="640" w:firstLineChars="200"/>
        <w:rPr>
          <w:rFonts w:hint="eastAsia" w:ascii="仿宋_GB2312" w:hAnsi="黑体" w:eastAsia="仿宋_GB2312"/>
          <w:sz w:val="32"/>
          <w:szCs w:val="32"/>
        </w:rPr>
      </w:pPr>
      <w:r>
        <w:rPr>
          <w:rFonts w:hint="eastAsia" w:ascii="仿宋_GB2312" w:hAnsi="黑体" w:eastAsia="仿宋_GB2312"/>
          <w:sz w:val="32"/>
          <w:szCs w:val="32"/>
        </w:rPr>
        <w:t>表一：收入支出决算总表</w:t>
      </w:r>
    </w:p>
    <w:p w14:paraId="34DDCCD5">
      <w:pPr>
        <w:ind w:firstLine="640" w:firstLineChars="200"/>
        <w:rPr>
          <w:rFonts w:hint="eastAsia" w:ascii="仿宋_GB2312" w:hAnsi="黑体" w:eastAsia="仿宋_GB2312"/>
          <w:sz w:val="32"/>
          <w:szCs w:val="32"/>
        </w:rPr>
      </w:pPr>
      <w:r>
        <w:rPr>
          <w:rFonts w:hint="eastAsia" w:ascii="仿宋_GB2312" w:hAnsi="黑体" w:eastAsia="仿宋_GB2312"/>
          <w:sz w:val="32"/>
          <w:szCs w:val="32"/>
        </w:rPr>
        <w:t>表二：收入决算表</w:t>
      </w:r>
    </w:p>
    <w:p w14:paraId="6AEE5C30">
      <w:pPr>
        <w:ind w:firstLine="640" w:firstLineChars="200"/>
        <w:rPr>
          <w:rFonts w:hint="eastAsia" w:ascii="仿宋_GB2312" w:hAnsi="黑体" w:eastAsia="仿宋_GB2312"/>
          <w:sz w:val="32"/>
          <w:szCs w:val="32"/>
        </w:rPr>
      </w:pPr>
      <w:r>
        <w:rPr>
          <w:rFonts w:hint="eastAsia" w:ascii="仿宋_GB2312" w:hAnsi="黑体" w:eastAsia="仿宋_GB2312"/>
          <w:sz w:val="32"/>
          <w:szCs w:val="32"/>
        </w:rPr>
        <w:t>表三：支出决算表</w:t>
      </w:r>
    </w:p>
    <w:p w14:paraId="043177B6">
      <w:pPr>
        <w:ind w:firstLine="640" w:firstLineChars="200"/>
        <w:rPr>
          <w:rFonts w:hint="eastAsia" w:ascii="仿宋_GB2312" w:hAnsi="黑体" w:eastAsia="仿宋_GB2312"/>
          <w:sz w:val="32"/>
          <w:szCs w:val="32"/>
        </w:rPr>
      </w:pPr>
      <w:r>
        <w:rPr>
          <w:rFonts w:hint="eastAsia" w:ascii="仿宋_GB2312" w:hAnsi="黑体" w:eastAsia="仿宋_GB2312"/>
          <w:sz w:val="32"/>
          <w:szCs w:val="32"/>
        </w:rPr>
        <w:t>表四：财政拨款收入支出决算总表</w:t>
      </w:r>
    </w:p>
    <w:p w14:paraId="22493418">
      <w:pPr>
        <w:ind w:firstLine="640" w:firstLineChars="200"/>
        <w:rPr>
          <w:rFonts w:hint="eastAsia" w:ascii="仿宋_GB2312" w:hAnsi="黑体" w:eastAsia="仿宋_GB2312"/>
          <w:sz w:val="32"/>
          <w:szCs w:val="32"/>
        </w:rPr>
      </w:pPr>
      <w:r>
        <w:rPr>
          <w:rFonts w:hint="eastAsia" w:ascii="仿宋_GB2312" w:hAnsi="黑体" w:eastAsia="仿宋_GB2312"/>
          <w:sz w:val="32"/>
          <w:szCs w:val="32"/>
        </w:rPr>
        <w:t>表五：一般公共预算财政拨款收入支出决算表</w:t>
      </w:r>
    </w:p>
    <w:p w14:paraId="59712963">
      <w:pPr>
        <w:ind w:firstLine="640" w:firstLineChars="200"/>
        <w:rPr>
          <w:rFonts w:hint="eastAsia" w:ascii="仿宋_GB2312" w:hAnsi="黑体" w:eastAsia="仿宋_GB2312"/>
          <w:sz w:val="32"/>
          <w:szCs w:val="32"/>
        </w:rPr>
      </w:pPr>
      <w:r>
        <w:rPr>
          <w:rFonts w:hint="eastAsia" w:ascii="仿宋_GB2312" w:hAnsi="黑体" w:eastAsia="仿宋_GB2312"/>
          <w:sz w:val="32"/>
          <w:szCs w:val="32"/>
        </w:rPr>
        <w:t>表六：一般公共预算财政拨款基本支出决算明细表</w:t>
      </w:r>
    </w:p>
    <w:p w14:paraId="7DD22403">
      <w:pPr>
        <w:ind w:firstLine="640" w:firstLineChars="200"/>
        <w:rPr>
          <w:rFonts w:hint="eastAsia" w:ascii="仿宋_GB2312" w:hAnsi="黑体" w:eastAsia="仿宋_GB2312"/>
          <w:sz w:val="32"/>
          <w:szCs w:val="32"/>
        </w:rPr>
      </w:pPr>
      <w:r>
        <w:rPr>
          <w:rFonts w:hint="eastAsia" w:ascii="仿宋_GB2312" w:hAnsi="黑体" w:eastAsia="仿宋_GB2312"/>
          <w:sz w:val="32"/>
          <w:szCs w:val="32"/>
        </w:rPr>
        <w:t>表七：政府性基金预算财政拨款收入支出决算表</w:t>
      </w:r>
    </w:p>
    <w:p w14:paraId="0B3BA763">
      <w:pPr>
        <w:ind w:firstLine="640" w:firstLineChars="200"/>
        <w:rPr>
          <w:rFonts w:hint="eastAsia" w:ascii="仿宋_GB2312" w:hAnsi="黑体" w:eastAsia="仿宋_GB2312"/>
          <w:sz w:val="32"/>
          <w:szCs w:val="32"/>
        </w:rPr>
      </w:pPr>
      <w:r>
        <w:rPr>
          <w:rFonts w:hint="eastAsia" w:ascii="仿宋_GB2312" w:hAnsi="黑体" w:eastAsia="仿宋_GB2312"/>
          <w:sz w:val="32"/>
          <w:szCs w:val="32"/>
        </w:rPr>
        <w:t>表八：国有资本经营预算财政拨款支出决算表</w:t>
      </w:r>
    </w:p>
    <w:p w14:paraId="71136ABF">
      <w:pPr>
        <w:spacing w:line="240" w:lineRule="auto"/>
        <w:ind w:firstLine="640" w:firstLineChars="200"/>
        <w:rPr>
          <w:rFonts w:hint="eastAsia" w:ascii="仿宋_GB2312" w:eastAsia="仿宋_GB2312"/>
          <w:b/>
          <w:sz w:val="32"/>
          <w:szCs w:val="32"/>
        </w:rPr>
        <w:sectPr>
          <w:footerReference r:id="rId3" w:type="default"/>
          <w:footerReference r:id="rId4" w:type="even"/>
          <w:pgSz w:w="11906" w:h="16838"/>
          <w:pgMar w:top="1701" w:right="1417" w:bottom="1417" w:left="1701" w:header="851" w:footer="992" w:gutter="0"/>
          <w:pgNumType w:fmt="decimal"/>
          <w:cols w:space="720" w:num="1"/>
          <w:titlePg/>
          <w:rtlGutter w:val="0"/>
          <w:docGrid w:type="lines" w:linePitch="312" w:charSpace="0"/>
        </w:sectPr>
      </w:pPr>
      <w:r>
        <w:rPr>
          <w:rFonts w:hint="eastAsia" w:ascii="仿宋_GB2312" w:hAnsi="黑体" w:eastAsia="仿宋_GB2312"/>
          <w:sz w:val="32"/>
          <w:szCs w:val="32"/>
        </w:rPr>
        <w:t>详见附件：自治区本级202</w:t>
      </w:r>
      <w:r>
        <w:rPr>
          <w:rFonts w:hint="eastAsia" w:ascii="仿宋_GB2312" w:hAnsi="黑体" w:eastAsia="仿宋_GB2312"/>
          <w:sz w:val="32"/>
          <w:szCs w:val="32"/>
          <w:lang w:val="en-US" w:eastAsia="zh-CN"/>
        </w:rPr>
        <w:t>5</w:t>
      </w:r>
      <w:r>
        <w:rPr>
          <w:rFonts w:hint="eastAsia" w:ascii="仿宋_GB2312" w:hAnsi="黑体" w:eastAsia="仿宋_GB2312"/>
          <w:sz w:val="32"/>
          <w:szCs w:val="32"/>
        </w:rPr>
        <w:t>年度部门决算公开附</w:t>
      </w:r>
      <w:r>
        <w:rPr>
          <w:rFonts w:hint="eastAsia" w:ascii="仿宋_GB2312" w:hAnsi="黑体" w:eastAsia="仿宋_GB2312"/>
          <w:sz w:val="32"/>
          <w:szCs w:val="32"/>
          <w:lang w:val="en-US" w:eastAsia="zh-CN"/>
        </w:rPr>
        <w:t>表</w:t>
      </w:r>
    </w:p>
    <w:p w14:paraId="740FC1CC">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rPr>
        <w:t>第三部分：</w:t>
      </w:r>
      <w:r>
        <w:rPr>
          <w:rFonts w:hint="eastAsia" w:ascii="黑体" w:hAnsi="黑体" w:eastAsia="黑体"/>
          <w:bCs/>
          <w:color w:val="000000"/>
          <w:sz w:val="32"/>
          <w:szCs w:val="32"/>
          <w:u w:val="none"/>
        </w:rPr>
        <w:t>广西中医药大学</w:t>
      </w:r>
      <w:r>
        <w:rPr>
          <w:rFonts w:hint="eastAsia" w:ascii="黑体" w:hAnsi="黑体" w:eastAsia="黑体"/>
          <w:bCs/>
          <w:color w:val="000000"/>
          <w:sz w:val="32"/>
          <w:szCs w:val="32"/>
          <w:u w:val="none"/>
          <w:lang w:val="en-US" w:eastAsia="zh-CN"/>
        </w:rPr>
        <w:t>第二附属</w:t>
      </w:r>
      <w:r>
        <w:rPr>
          <w:rFonts w:hint="eastAsia" w:ascii="黑体" w:hAnsi="黑体" w:eastAsia="黑体"/>
          <w:bCs/>
          <w:color w:val="000000"/>
          <w:sz w:val="32"/>
          <w:szCs w:val="32"/>
          <w:u w:val="none"/>
        </w:rPr>
        <w:t>医院</w:t>
      </w:r>
      <w:r>
        <w:rPr>
          <w:rFonts w:hint="eastAsia" w:ascii="黑体" w:hAnsi="黑体" w:eastAsia="黑体"/>
          <w:sz w:val="32"/>
          <w:szCs w:val="32"/>
        </w:rPr>
        <w:t>202</w:t>
      </w:r>
      <w:r>
        <w:rPr>
          <w:rFonts w:hint="eastAsia" w:ascii="黑体" w:hAnsi="黑体" w:eastAsia="黑体"/>
          <w:sz w:val="32"/>
          <w:szCs w:val="32"/>
          <w:lang w:val="en-US" w:eastAsia="zh-CN"/>
        </w:rPr>
        <w:t>5</w:t>
      </w:r>
      <w:r>
        <w:rPr>
          <w:rFonts w:hint="eastAsia" w:ascii="黑体" w:hAnsi="黑体" w:eastAsia="黑体"/>
          <w:sz w:val="32"/>
          <w:szCs w:val="32"/>
        </w:rPr>
        <w:t>年度部门决算情况说明</w:t>
      </w:r>
    </w:p>
    <w:p w14:paraId="3527483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黑体" w:hAnsi="黑体" w:eastAsia="黑体" w:cs="仿宋_GB2312"/>
          <w:kern w:val="0"/>
          <w:sz w:val="32"/>
          <w:szCs w:val="32"/>
        </w:rPr>
      </w:pPr>
    </w:p>
    <w:p w14:paraId="323CA23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年度收入支出决算总体情况</w:t>
      </w:r>
    </w:p>
    <w:p w14:paraId="3E17C7E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（一）本部门202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年度总收入</w:t>
      </w:r>
      <w:r>
        <w:rPr>
          <w:rFonts w:hint="eastAsia" w:ascii="仿宋" w:hAnsi="仿宋" w:eastAsia="仿宋" w:cs="仿宋"/>
          <w:kern w:val="0"/>
          <w:sz w:val="32"/>
          <w:szCs w:val="32"/>
          <w:lang w:val="en-US" w:eastAsia="zh-CN"/>
        </w:rPr>
        <w:t>235,806.99</w:t>
      </w:r>
      <w:r>
        <w:rPr>
          <w:rFonts w:hint="eastAsia" w:ascii="仿宋" w:hAnsi="仿宋" w:eastAsia="仿宋" w:cs="仿宋"/>
          <w:kern w:val="0"/>
          <w:sz w:val="32"/>
          <w:szCs w:val="32"/>
        </w:rPr>
        <w:t>万元，其中本年收入</w:t>
      </w:r>
      <w:r>
        <w:rPr>
          <w:rFonts w:hint="eastAsia" w:ascii="仿宋" w:hAnsi="仿宋" w:eastAsia="仿宋" w:cs="仿宋"/>
          <w:kern w:val="0"/>
          <w:sz w:val="32"/>
          <w:szCs w:val="32"/>
          <w:lang w:val="en-US" w:eastAsia="zh-CN"/>
        </w:rPr>
        <w:t>232,961.94</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较202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年度决算数</w:t>
      </w:r>
      <w:r>
        <w:rPr>
          <w:rFonts w:hint="eastAsia" w:ascii="仿宋" w:hAnsi="仿宋" w:eastAsia="仿宋" w:cs="仿宋"/>
          <w:kern w:val="0"/>
          <w:sz w:val="32"/>
          <w:szCs w:val="32"/>
          <w:lang w:val="en-US" w:eastAsia="zh-CN"/>
        </w:rPr>
        <w:t>增加19,385.26</w:t>
      </w:r>
      <w:r>
        <w:rPr>
          <w:rFonts w:hint="eastAsia" w:ascii="仿宋" w:hAnsi="仿宋" w:eastAsia="仿宋" w:cs="仿宋"/>
          <w:kern w:val="0"/>
          <w:sz w:val="32"/>
          <w:szCs w:val="32"/>
        </w:rPr>
        <w:t>万元，</w:t>
      </w:r>
      <w:r>
        <w:rPr>
          <w:rFonts w:hint="eastAsia" w:ascii="仿宋" w:hAnsi="仿宋" w:eastAsia="仿宋" w:cs="仿宋"/>
          <w:kern w:val="0"/>
          <w:sz w:val="32"/>
          <w:szCs w:val="32"/>
          <w:lang w:val="en-US" w:eastAsia="zh-CN"/>
        </w:rPr>
        <w:t>增长8.96</w:t>
      </w:r>
      <w:r>
        <w:rPr>
          <w:rFonts w:hint="eastAsia" w:ascii="仿宋" w:hAnsi="仿宋" w:eastAsia="仿宋" w:cs="仿宋"/>
          <w:kern w:val="0"/>
          <w:sz w:val="32"/>
          <w:szCs w:val="32"/>
        </w:rPr>
        <w:t>%。收入具体情况如下。</w:t>
      </w:r>
    </w:p>
    <w:p w14:paraId="48FBC8C1">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rPr>
      </w:pPr>
      <w:r>
        <w:rPr>
          <w:rFonts w:hint="eastAsia" w:ascii="仿宋" w:hAnsi="仿宋" w:eastAsia="仿宋" w:cs="仿宋"/>
          <w:bCs/>
          <w:kern w:val="0"/>
          <w:sz w:val="32"/>
          <w:szCs w:val="32"/>
        </w:rPr>
        <w:t>1</w:t>
      </w:r>
      <w:r>
        <w:rPr>
          <w:rFonts w:hint="eastAsia" w:ascii="仿宋" w:hAnsi="仿宋" w:eastAsia="仿宋" w:cs="仿宋"/>
          <w:kern w:val="0"/>
          <w:sz w:val="32"/>
          <w:szCs w:val="32"/>
        </w:rPr>
        <w:t>.一般公共预算财政拨款收入</w:t>
      </w:r>
      <w:r>
        <w:rPr>
          <w:rFonts w:hint="eastAsia" w:ascii="仿宋" w:hAnsi="仿宋" w:eastAsia="仿宋" w:cs="仿宋"/>
          <w:kern w:val="0"/>
          <w:sz w:val="32"/>
          <w:szCs w:val="32"/>
          <w:lang w:val="en-US" w:eastAsia="zh-CN"/>
        </w:rPr>
        <w:t>15,434.10</w:t>
      </w:r>
      <w:r>
        <w:rPr>
          <w:rFonts w:hint="eastAsia" w:ascii="仿宋" w:hAnsi="仿宋" w:eastAsia="仿宋" w:cs="仿宋"/>
          <w:kern w:val="0"/>
          <w:sz w:val="32"/>
          <w:szCs w:val="32"/>
        </w:rPr>
        <w:t>万元，</w:t>
      </w:r>
      <w:r>
        <w:rPr>
          <w:rFonts w:hint="eastAsia" w:ascii="仿宋" w:hAnsi="仿宋" w:eastAsia="仿宋" w:cs="仿宋"/>
          <w:kern w:val="0"/>
          <w:sz w:val="32"/>
          <w:szCs w:val="32"/>
          <w:lang w:val="en-US" w:eastAsia="zh-CN"/>
        </w:rPr>
        <w:t>其中：9,923.72万元</w:t>
      </w:r>
      <w:r>
        <w:rPr>
          <w:rFonts w:hint="eastAsia" w:ascii="仿宋" w:hAnsi="仿宋" w:eastAsia="仿宋" w:cs="仿宋"/>
          <w:kern w:val="0"/>
          <w:sz w:val="32"/>
          <w:szCs w:val="32"/>
        </w:rPr>
        <w:t>为自治区本级财政当年拨付的资金。较202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年度决算数</w:t>
      </w:r>
      <w:r>
        <w:rPr>
          <w:rFonts w:hint="eastAsia" w:ascii="仿宋" w:hAnsi="仿宋" w:eastAsia="仿宋" w:cs="仿宋"/>
          <w:kern w:val="0"/>
          <w:sz w:val="32"/>
          <w:szCs w:val="32"/>
          <w:lang w:val="en-US" w:eastAsia="zh-CN"/>
        </w:rPr>
        <w:t>减少1,621.54</w:t>
      </w:r>
      <w:r>
        <w:rPr>
          <w:rFonts w:hint="eastAsia" w:ascii="仿宋" w:hAnsi="仿宋" w:eastAsia="仿宋" w:cs="仿宋"/>
          <w:kern w:val="0"/>
          <w:sz w:val="32"/>
          <w:szCs w:val="32"/>
        </w:rPr>
        <w:t>万元，</w:t>
      </w:r>
      <w:r>
        <w:rPr>
          <w:rFonts w:hint="eastAsia" w:ascii="仿宋" w:hAnsi="仿宋" w:eastAsia="仿宋" w:cs="仿宋"/>
          <w:kern w:val="0"/>
          <w:sz w:val="32"/>
          <w:szCs w:val="32"/>
          <w:lang w:val="en-US" w:eastAsia="zh-CN"/>
        </w:rPr>
        <w:t>下降9.51</w:t>
      </w:r>
      <w:r>
        <w:rPr>
          <w:rFonts w:hint="eastAsia" w:ascii="仿宋" w:hAnsi="仿宋" w:eastAsia="仿宋" w:cs="仿宋"/>
          <w:kern w:val="0"/>
          <w:sz w:val="32"/>
          <w:szCs w:val="32"/>
          <w:highlight w:val="none"/>
        </w:rPr>
        <w:t>%。</w:t>
      </w:r>
    </w:p>
    <w:p w14:paraId="3BF41396">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2.</w:t>
      </w:r>
      <w:r>
        <w:rPr>
          <w:rFonts w:hint="eastAsia" w:ascii="仿宋" w:hAnsi="仿宋" w:eastAsia="仿宋" w:cs="仿宋"/>
          <w:kern w:val="0"/>
          <w:sz w:val="32"/>
          <w:szCs w:val="32"/>
          <w:lang w:val="en-US" w:eastAsia="zh-CN"/>
        </w:rPr>
        <w:t>本年政府性基金预算财政拨款收入8,560.03万元。</w:t>
      </w:r>
    </w:p>
    <w:p w14:paraId="34F6024D">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rPr>
      </w:pPr>
      <w:r>
        <w:rPr>
          <w:rFonts w:hint="eastAsia" w:ascii="仿宋" w:hAnsi="仿宋" w:eastAsia="仿宋" w:cs="仿宋"/>
          <w:bCs/>
          <w:kern w:val="0"/>
          <w:sz w:val="32"/>
          <w:szCs w:val="32"/>
        </w:rPr>
        <w:t>3</w:t>
      </w: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本年无</w:t>
      </w:r>
      <w:r>
        <w:rPr>
          <w:rFonts w:hint="eastAsia" w:ascii="仿宋" w:hAnsi="仿宋" w:eastAsia="仿宋" w:cs="仿宋"/>
          <w:kern w:val="0"/>
          <w:sz w:val="32"/>
          <w:szCs w:val="32"/>
        </w:rPr>
        <w:t>国有资本经营预算财政拨款收入。</w:t>
      </w:r>
    </w:p>
    <w:p w14:paraId="4F42A3F0">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4.事业收入</w:t>
      </w:r>
      <w:r>
        <w:rPr>
          <w:rFonts w:hint="eastAsia" w:ascii="仿宋" w:hAnsi="仿宋" w:eastAsia="仿宋" w:cs="仿宋"/>
          <w:kern w:val="0"/>
          <w:sz w:val="32"/>
          <w:szCs w:val="32"/>
          <w:lang w:val="en-US" w:eastAsia="zh-CN"/>
        </w:rPr>
        <w:t>112,793.11</w:t>
      </w:r>
      <w:r>
        <w:rPr>
          <w:rFonts w:hint="eastAsia" w:ascii="仿宋" w:hAnsi="仿宋" w:eastAsia="仿宋" w:cs="仿宋"/>
          <w:kern w:val="0"/>
          <w:sz w:val="32"/>
          <w:szCs w:val="32"/>
        </w:rPr>
        <w:t>万元，为事业单位开展业务活动取得的收入。较202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年度决算数</w:t>
      </w:r>
      <w:r>
        <w:rPr>
          <w:rFonts w:hint="eastAsia" w:ascii="仿宋" w:hAnsi="仿宋" w:eastAsia="仿宋" w:cs="仿宋"/>
          <w:kern w:val="0"/>
          <w:sz w:val="32"/>
          <w:szCs w:val="32"/>
          <w:lang w:val="en-US" w:eastAsia="zh-CN"/>
        </w:rPr>
        <w:t>减少3,863.05</w:t>
      </w:r>
      <w:r>
        <w:rPr>
          <w:rFonts w:hint="eastAsia" w:ascii="仿宋" w:hAnsi="仿宋" w:eastAsia="仿宋" w:cs="仿宋"/>
          <w:kern w:val="0"/>
          <w:sz w:val="32"/>
          <w:szCs w:val="32"/>
        </w:rPr>
        <w:t>万元，</w:t>
      </w:r>
      <w:r>
        <w:rPr>
          <w:rFonts w:hint="eastAsia" w:ascii="仿宋" w:hAnsi="仿宋" w:eastAsia="仿宋" w:cs="仿宋"/>
          <w:kern w:val="0"/>
          <w:sz w:val="32"/>
          <w:szCs w:val="32"/>
          <w:lang w:val="en-US" w:eastAsia="zh-CN"/>
        </w:rPr>
        <w:t>下降3.31</w:t>
      </w:r>
      <w:r>
        <w:rPr>
          <w:rFonts w:hint="eastAsia" w:ascii="仿宋" w:hAnsi="仿宋" w:eastAsia="仿宋" w:cs="仿宋"/>
          <w:kern w:val="0"/>
          <w:sz w:val="32"/>
          <w:szCs w:val="32"/>
        </w:rPr>
        <w:t>%。</w:t>
      </w:r>
    </w:p>
    <w:p w14:paraId="43696E88">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rPr>
      </w:pPr>
      <w:r>
        <w:rPr>
          <w:rFonts w:hint="eastAsia" w:ascii="仿宋" w:hAnsi="仿宋" w:eastAsia="仿宋" w:cs="仿宋"/>
          <w:bCs/>
          <w:kern w:val="0"/>
          <w:sz w:val="32"/>
          <w:szCs w:val="32"/>
        </w:rPr>
        <w:t>5</w:t>
      </w: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本年无</w:t>
      </w:r>
      <w:r>
        <w:rPr>
          <w:rFonts w:hint="eastAsia" w:ascii="仿宋" w:hAnsi="仿宋" w:eastAsia="仿宋" w:cs="仿宋"/>
          <w:kern w:val="0"/>
          <w:sz w:val="32"/>
          <w:szCs w:val="32"/>
        </w:rPr>
        <w:t>经营收入。</w:t>
      </w:r>
    </w:p>
    <w:p w14:paraId="26AA8F5F">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rPr>
      </w:pPr>
      <w:r>
        <w:rPr>
          <w:rFonts w:hint="eastAsia" w:ascii="仿宋" w:hAnsi="仿宋" w:eastAsia="仿宋" w:cs="仿宋"/>
          <w:bCs/>
          <w:kern w:val="0"/>
          <w:sz w:val="32"/>
          <w:szCs w:val="32"/>
        </w:rPr>
        <w:t>6</w:t>
      </w:r>
      <w:r>
        <w:rPr>
          <w:rFonts w:hint="eastAsia" w:ascii="仿宋" w:hAnsi="仿宋" w:eastAsia="仿宋" w:cs="仿宋"/>
          <w:kern w:val="0"/>
          <w:sz w:val="32"/>
          <w:szCs w:val="32"/>
        </w:rPr>
        <w:t>.其他收入</w:t>
      </w:r>
      <w:r>
        <w:rPr>
          <w:rFonts w:hint="eastAsia" w:ascii="仿宋" w:hAnsi="仿宋" w:eastAsia="仿宋" w:cs="仿宋"/>
          <w:kern w:val="0"/>
          <w:sz w:val="32"/>
          <w:szCs w:val="32"/>
          <w:lang w:val="en-US" w:eastAsia="zh-CN"/>
        </w:rPr>
        <w:t>96,174.70</w:t>
      </w:r>
      <w:r>
        <w:rPr>
          <w:rFonts w:hint="eastAsia" w:ascii="仿宋" w:hAnsi="仿宋" w:eastAsia="仿宋" w:cs="仿宋"/>
          <w:kern w:val="0"/>
          <w:sz w:val="32"/>
          <w:szCs w:val="32"/>
        </w:rPr>
        <w:t>万元，为预算单位在“财政拨款收入”“事业收入”“经营收入”之外取得的收入。</w:t>
      </w:r>
    </w:p>
    <w:p w14:paraId="73DA80C4">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default" w:ascii="仿宋" w:hAnsi="仿宋" w:eastAsia="仿宋" w:cs="仿宋"/>
          <w:kern w:val="0"/>
          <w:sz w:val="32"/>
          <w:szCs w:val="32"/>
          <w:lang w:val="en-US" w:eastAsia="zh-CN"/>
        </w:rPr>
      </w:pPr>
      <w:r>
        <w:rPr>
          <w:rFonts w:hint="eastAsia" w:ascii="仿宋" w:hAnsi="仿宋" w:eastAsia="仿宋" w:cs="仿宋"/>
          <w:bCs/>
          <w:kern w:val="0"/>
          <w:sz w:val="32"/>
          <w:szCs w:val="32"/>
        </w:rPr>
        <w:t>7</w:t>
      </w:r>
      <w:r>
        <w:rPr>
          <w:rFonts w:hint="eastAsia" w:ascii="仿宋" w:hAnsi="仿宋" w:eastAsia="仿宋" w:cs="仿宋"/>
          <w:kern w:val="0"/>
          <w:sz w:val="32"/>
          <w:szCs w:val="32"/>
        </w:rPr>
        <w:t>.非财政拨款结余</w:t>
      </w:r>
      <w:r>
        <w:rPr>
          <w:rFonts w:hint="eastAsia" w:ascii="仿宋" w:hAnsi="仿宋" w:eastAsia="仿宋" w:cs="仿宋"/>
          <w:kern w:val="0"/>
          <w:sz w:val="32"/>
          <w:szCs w:val="32"/>
          <w:lang w:eastAsia="zh-CN"/>
        </w:rPr>
        <w:t>（含专用结余）</w:t>
      </w:r>
      <w:r>
        <w:rPr>
          <w:rFonts w:hint="eastAsia" w:ascii="仿宋" w:hAnsi="仿宋" w:eastAsia="仿宋" w:cs="仿宋"/>
          <w:kern w:val="0"/>
          <w:sz w:val="32"/>
          <w:szCs w:val="32"/>
        </w:rPr>
        <w:t>，主要是所属事业单位在当年的“财政拨款收入”“事业收入”“经营收入”及“其他收入”不能保证其支出的情况下，使用以前年度积累的非财政拨款结余</w:t>
      </w:r>
      <w:r>
        <w:rPr>
          <w:rFonts w:hint="eastAsia" w:ascii="仿宋" w:hAnsi="仿宋" w:eastAsia="仿宋" w:cs="仿宋"/>
          <w:kern w:val="0"/>
          <w:sz w:val="32"/>
          <w:szCs w:val="32"/>
          <w:lang w:eastAsia="zh-CN"/>
        </w:rPr>
        <w:t>、</w:t>
      </w:r>
      <w:r>
        <w:rPr>
          <w:rFonts w:hint="eastAsia" w:ascii="仿宋" w:hAnsi="仿宋" w:eastAsia="仿宋" w:cs="仿宋"/>
          <w:sz w:val="32"/>
          <w:szCs w:val="32"/>
        </w:rPr>
        <w:t>专用结余</w:t>
      </w:r>
      <w:r>
        <w:rPr>
          <w:rFonts w:hint="eastAsia" w:ascii="仿宋" w:hAnsi="仿宋" w:eastAsia="仿宋" w:cs="仿宋"/>
          <w:kern w:val="0"/>
          <w:sz w:val="32"/>
          <w:szCs w:val="32"/>
        </w:rPr>
        <w:t>弥补本年度收支缺口的资金。</w:t>
      </w:r>
      <w:r>
        <w:rPr>
          <w:rFonts w:hint="eastAsia" w:ascii="仿宋" w:hAnsi="仿宋" w:eastAsia="仿宋" w:cs="仿宋"/>
          <w:kern w:val="0"/>
          <w:sz w:val="32"/>
          <w:szCs w:val="32"/>
          <w:lang w:val="en-US" w:eastAsia="zh-CN"/>
        </w:rPr>
        <w:t>本年度未使用</w:t>
      </w:r>
      <w:r>
        <w:rPr>
          <w:rFonts w:hint="eastAsia" w:ascii="仿宋" w:hAnsi="仿宋" w:eastAsia="仿宋" w:cs="仿宋"/>
          <w:kern w:val="0"/>
          <w:sz w:val="32"/>
          <w:szCs w:val="32"/>
        </w:rPr>
        <w:t>非财政拨款结余</w:t>
      </w:r>
      <w:r>
        <w:rPr>
          <w:rFonts w:hint="eastAsia" w:ascii="仿宋" w:hAnsi="仿宋" w:eastAsia="仿宋" w:cs="仿宋"/>
          <w:kern w:val="0"/>
          <w:sz w:val="32"/>
          <w:szCs w:val="32"/>
          <w:lang w:eastAsia="zh-CN"/>
        </w:rPr>
        <w:t>（含专用结余）。</w:t>
      </w:r>
    </w:p>
    <w:p w14:paraId="7B8D3256">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rPr>
      </w:pPr>
      <w:r>
        <w:rPr>
          <w:rFonts w:hint="eastAsia" w:ascii="仿宋" w:hAnsi="仿宋" w:eastAsia="仿宋" w:cs="仿宋"/>
          <w:bCs/>
          <w:kern w:val="0"/>
          <w:sz w:val="32"/>
          <w:szCs w:val="32"/>
        </w:rPr>
        <w:t>8</w:t>
      </w:r>
      <w:r>
        <w:rPr>
          <w:rFonts w:hint="eastAsia" w:ascii="仿宋" w:hAnsi="仿宋" w:eastAsia="仿宋" w:cs="仿宋"/>
          <w:kern w:val="0"/>
          <w:sz w:val="32"/>
          <w:szCs w:val="32"/>
        </w:rPr>
        <w:t>.上年结转和结余</w:t>
      </w:r>
      <w:r>
        <w:rPr>
          <w:rFonts w:hint="eastAsia" w:ascii="仿宋" w:hAnsi="仿宋" w:eastAsia="仿宋" w:cs="仿宋"/>
          <w:kern w:val="0"/>
          <w:sz w:val="32"/>
          <w:szCs w:val="32"/>
          <w:lang w:val="en-US" w:eastAsia="zh-CN"/>
        </w:rPr>
        <w:t>2,845.05</w:t>
      </w:r>
      <w:r>
        <w:rPr>
          <w:rFonts w:hint="eastAsia" w:ascii="仿宋" w:hAnsi="仿宋" w:eastAsia="仿宋" w:cs="仿宋"/>
          <w:kern w:val="0"/>
          <w:sz w:val="32"/>
          <w:szCs w:val="32"/>
        </w:rPr>
        <w:t>万元，为以前年度支出预算因客观条件变化未执行完毕、结转到本年度按有关规定继续使用的资金。较202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年度决算数</w:t>
      </w:r>
      <w:r>
        <w:rPr>
          <w:rFonts w:hint="eastAsia" w:ascii="仿宋" w:hAnsi="仿宋" w:eastAsia="仿宋" w:cs="仿宋"/>
          <w:kern w:val="0"/>
          <w:sz w:val="32"/>
          <w:szCs w:val="32"/>
          <w:lang w:val="en-US" w:eastAsia="zh-CN"/>
        </w:rPr>
        <w:t>减少108.48</w:t>
      </w:r>
      <w:r>
        <w:rPr>
          <w:rFonts w:hint="eastAsia" w:ascii="仿宋" w:hAnsi="仿宋" w:eastAsia="仿宋" w:cs="仿宋"/>
          <w:kern w:val="0"/>
          <w:sz w:val="32"/>
          <w:szCs w:val="32"/>
        </w:rPr>
        <w:t>万元，</w:t>
      </w:r>
      <w:r>
        <w:rPr>
          <w:rFonts w:hint="eastAsia" w:ascii="仿宋" w:hAnsi="仿宋" w:eastAsia="仿宋" w:cs="仿宋"/>
          <w:kern w:val="0"/>
          <w:sz w:val="32"/>
          <w:szCs w:val="32"/>
          <w:lang w:val="en-US" w:eastAsia="zh-CN"/>
        </w:rPr>
        <w:t>下降3.67</w:t>
      </w:r>
      <w:r>
        <w:rPr>
          <w:rFonts w:hint="eastAsia" w:ascii="仿宋" w:hAnsi="仿宋" w:eastAsia="仿宋" w:cs="仿宋"/>
          <w:kern w:val="0"/>
          <w:sz w:val="32"/>
          <w:szCs w:val="32"/>
        </w:rPr>
        <w:t>%。</w:t>
      </w:r>
    </w:p>
    <w:p w14:paraId="639B9744">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（二）本部门202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年度总支出</w:t>
      </w:r>
      <w:r>
        <w:rPr>
          <w:rFonts w:hint="eastAsia" w:ascii="仿宋" w:hAnsi="仿宋" w:eastAsia="仿宋" w:cs="仿宋"/>
          <w:kern w:val="0"/>
          <w:sz w:val="32"/>
          <w:szCs w:val="32"/>
          <w:lang w:val="en-US" w:eastAsia="zh-CN"/>
        </w:rPr>
        <w:t>235,806.99</w:t>
      </w:r>
      <w:r>
        <w:rPr>
          <w:rFonts w:hint="eastAsia" w:ascii="仿宋" w:hAnsi="仿宋" w:eastAsia="仿宋" w:cs="仿宋"/>
          <w:kern w:val="0"/>
          <w:sz w:val="32"/>
          <w:szCs w:val="32"/>
        </w:rPr>
        <w:t>万元，其中本年支出</w:t>
      </w:r>
      <w:r>
        <w:rPr>
          <w:rFonts w:hint="eastAsia" w:ascii="仿宋" w:hAnsi="仿宋" w:eastAsia="仿宋" w:cs="仿宋"/>
          <w:kern w:val="0"/>
          <w:sz w:val="32"/>
          <w:szCs w:val="32"/>
          <w:lang w:val="en-US" w:eastAsia="zh-CN"/>
        </w:rPr>
        <w:t>227,949.95</w:t>
      </w:r>
      <w:r>
        <w:rPr>
          <w:rFonts w:hint="eastAsia" w:ascii="仿宋" w:hAnsi="仿宋" w:eastAsia="仿宋" w:cs="仿宋"/>
          <w:kern w:val="0"/>
          <w:sz w:val="32"/>
          <w:szCs w:val="32"/>
        </w:rPr>
        <w:t>万元, 较202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年度决算数</w:t>
      </w:r>
      <w:r>
        <w:rPr>
          <w:rFonts w:hint="eastAsia" w:ascii="仿宋" w:hAnsi="仿宋" w:eastAsia="仿宋" w:cs="仿宋"/>
          <w:kern w:val="0"/>
          <w:sz w:val="32"/>
          <w:szCs w:val="32"/>
          <w:lang w:val="en-US" w:eastAsia="zh-CN"/>
        </w:rPr>
        <w:t>增加14,375.27</w:t>
      </w:r>
      <w:r>
        <w:rPr>
          <w:rFonts w:hint="eastAsia" w:ascii="仿宋" w:hAnsi="仿宋" w:eastAsia="仿宋" w:cs="仿宋"/>
          <w:kern w:val="0"/>
          <w:sz w:val="32"/>
          <w:szCs w:val="32"/>
        </w:rPr>
        <w:t>万元，</w:t>
      </w:r>
      <w:r>
        <w:rPr>
          <w:rFonts w:hint="eastAsia" w:ascii="仿宋" w:hAnsi="仿宋" w:eastAsia="仿宋" w:cs="仿宋"/>
          <w:kern w:val="0"/>
          <w:sz w:val="32"/>
          <w:szCs w:val="32"/>
          <w:lang w:val="en-US" w:eastAsia="zh-CN"/>
        </w:rPr>
        <w:t>增长6.73</w:t>
      </w:r>
      <w:r>
        <w:rPr>
          <w:rFonts w:hint="eastAsia" w:ascii="仿宋" w:hAnsi="仿宋" w:eastAsia="仿宋" w:cs="仿宋"/>
          <w:kern w:val="0"/>
          <w:sz w:val="32"/>
          <w:szCs w:val="32"/>
        </w:rPr>
        <w:t>%。支出具体情况如下：</w:t>
      </w:r>
    </w:p>
    <w:p w14:paraId="698926A9">
      <w:pPr>
        <w:numPr>
          <w:ilvl w:val="0"/>
          <w:numId w:val="0"/>
        </w:numPr>
        <w:autoSpaceDE w:val="0"/>
        <w:autoSpaceDN w:val="0"/>
        <w:adjustRightInd w:val="0"/>
        <w:spacing w:line="56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bCs/>
          <w:kern w:val="0"/>
          <w:sz w:val="32"/>
          <w:szCs w:val="32"/>
        </w:rPr>
        <w:t>1</w:t>
      </w: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社会保障和就业支出146.27万元，</w:t>
      </w:r>
      <w:r>
        <w:rPr>
          <w:rFonts w:hint="eastAsia" w:ascii="仿宋" w:hAnsi="仿宋" w:eastAsia="仿宋" w:cs="仿宋"/>
          <w:kern w:val="0"/>
          <w:sz w:val="32"/>
          <w:szCs w:val="32"/>
        </w:rPr>
        <w:t>较202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年度决算数</w:t>
      </w:r>
      <w:r>
        <w:rPr>
          <w:rFonts w:hint="eastAsia" w:ascii="仿宋" w:hAnsi="仿宋" w:eastAsia="仿宋" w:cs="仿宋"/>
          <w:kern w:val="0"/>
          <w:sz w:val="32"/>
          <w:szCs w:val="32"/>
          <w:lang w:val="en-US" w:eastAsia="zh-CN"/>
        </w:rPr>
        <w:t>减少77.57</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下降34.65%。</w:t>
      </w:r>
    </w:p>
    <w:p w14:paraId="3951092B">
      <w:pPr>
        <w:numPr>
          <w:ilvl w:val="0"/>
          <w:numId w:val="0"/>
        </w:numPr>
        <w:autoSpaceDE w:val="0"/>
        <w:autoSpaceDN w:val="0"/>
        <w:adjustRightInd w:val="0"/>
        <w:spacing w:line="560" w:lineRule="exact"/>
        <w:ind w:firstLine="64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2.卫生健康支出227,512.13万元，较2024年度决算数增加14,461.93万元，增长6.79%。</w:t>
      </w:r>
    </w:p>
    <w:p w14:paraId="0E3729CD">
      <w:pPr>
        <w:numPr>
          <w:ilvl w:val="0"/>
          <w:numId w:val="0"/>
        </w:numPr>
        <w:autoSpaceDE w:val="0"/>
        <w:autoSpaceDN w:val="0"/>
        <w:adjustRightInd w:val="0"/>
        <w:spacing w:line="560" w:lineRule="exact"/>
        <w:ind w:firstLine="640" w:firstLineChars="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3.住房保障支出291.55万元，较2024年度决算数减少9.09万元，下降3.02%。</w:t>
      </w:r>
    </w:p>
    <w:p w14:paraId="35C462B2">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rPr>
      </w:pPr>
      <w:r>
        <w:rPr>
          <w:rFonts w:hint="eastAsia" w:ascii="仿宋" w:hAnsi="仿宋" w:eastAsia="仿宋" w:cs="仿宋"/>
          <w:bCs/>
          <w:kern w:val="0"/>
          <w:sz w:val="32"/>
          <w:szCs w:val="32"/>
          <w:lang w:val="en-US" w:eastAsia="zh-CN"/>
        </w:rPr>
        <w:t>4</w:t>
      </w:r>
      <w:r>
        <w:rPr>
          <w:rFonts w:hint="eastAsia" w:ascii="仿宋" w:hAnsi="仿宋" w:eastAsia="仿宋" w:cs="仿宋"/>
          <w:kern w:val="0"/>
          <w:sz w:val="32"/>
          <w:szCs w:val="32"/>
        </w:rPr>
        <w:t>.年末结转和结余</w:t>
      </w:r>
      <w:r>
        <w:rPr>
          <w:rFonts w:hint="eastAsia" w:ascii="仿宋" w:hAnsi="仿宋" w:eastAsia="仿宋" w:cs="仿宋"/>
          <w:kern w:val="0"/>
          <w:sz w:val="32"/>
          <w:szCs w:val="32"/>
          <w:lang w:val="en-US" w:eastAsia="zh-CN"/>
        </w:rPr>
        <w:t>2,774.77</w:t>
      </w:r>
      <w:r>
        <w:rPr>
          <w:rFonts w:hint="eastAsia" w:ascii="仿宋" w:hAnsi="仿宋" w:eastAsia="仿宋" w:cs="仿宋"/>
          <w:kern w:val="0"/>
          <w:sz w:val="32"/>
          <w:szCs w:val="32"/>
        </w:rPr>
        <w:t>万元，为本年度或以前年度预算安排、因客观条件发生变化无法按原计划实施，需要延迟到以后年度按有关规定继续使用的资金。较202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年度决算数减少</w:t>
      </w:r>
      <w:r>
        <w:rPr>
          <w:rFonts w:hint="eastAsia" w:ascii="仿宋" w:hAnsi="仿宋" w:eastAsia="仿宋" w:cs="仿宋"/>
          <w:kern w:val="0"/>
          <w:sz w:val="32"/>
          <w:szCs w:val="32"/>
          <w:lang w:val="en-US" w:eastAsia="zh-CN"/>
        </w:rPr>
        <w:t>70.28</w:t>
      </w:r>
      <w:r>
        <w:rPr>
          <w:rFonts w:hint="eastAsia" w:ascii="仿宋" w:hAnsi="仿宋" w:eastAsia="仿宋" w:cs="仿宋"/>
          <w:kern w:val="0"/>
          <w:sz w:val="32"/>
          <w:szCs w:val="32"/>
        </w:rPr>
        <w:t>万元，下降</w:t>
      </w:r>
      <w:r>
        <w:rPr>
          <w:rFonts w:hint="eastAsia" w:ascii="仿宋" w:hAnsi="仿宋" w:eastAsia="仿宋" w:cs="仿宋"/>
          <w:kern w:val="0"/>
          <w:sz w:val="32"/>
          <w:szCs w:val="32"/>
          <w:lang w:val="en-US" w:eastAsia="zh-CN"/>
        </w:rPr>
        <w:t>2.47</w:t>
      </w:r>
      <w:r>
        <w:rPr>
          <w:rFonts w:hint="eastAsia" w:ascii="仿宋" w:hAnsi="仿宋" w:eastAsia="仿宋" w:cs="仿宋"/>
          <w:kern w:val="0"/>
          <w:sz w:val="32"/>
          <w:szCs w:val="32"/>
        </w:rPr>
        <w:t>%。</w:t>
      </w:r>
    </w:p>
    <w:p w14:paraId="50C5872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45B298D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 w:hAnsi="仿宋" w:eastAsia="仿宋" w:cs="仿宋"/>
          <w:color w:val="auto"/>
          <w:kern w:val="0"/>
          <w:sz w:val="32"/>
          <w:szCs w:val="32"/>
        </w:rPr>
      </w:pPr>
      <w:r>
        <w:rPr>
          <w:rFonts w:hint="eastAsia" w:ascii="仿宋" w:hAnsi="仿宋" w:eastAsia="仿宋" w:cs="仿宋"/>
          <w:bCs/>
          <w:color w:val="auto"/>
          <w:sz w:val="32"/>
          <w:szCs w:val="32"/>
          <w:u w:val="none"/>
        </w:rPr>
        <w:t>广西中医药大学</w:t>
      </w:r>
      <w:r>
        <w:rPr>
          <w:rFonts w:hint="eastAsia" w:ascii="仿宋" w:hAnsi="仿宋" w:eastAsia="仿宋" w:cs="仿宋"/>
          <w:bCs/>
          <w:color w:val="auto"/>
          <w:sz w:val="32"/>
          <w:szCs w:val="32"/>
          <w:u w:val="none"/>
          <w:lang w:val="en-US" w:eastAsia="zh-CN"/>
        </w:rPr>
        <w:t>第二附属医院</w:t>
      </w: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5</w:t>
      </w:r>
      <w:r>
        <w:rPr>
          <w:rFonts w:hint="eastAsia" w:ascii="仿宋" w:hAnsi="仿宋" w:eastAsia="仿宋" w:cs="仿宋"/>
          <w:color w:val="auto"/>
          <w:kern w:val="0"/>
          <w:sz w:val="32"/>
          <w:szCs w:val="32"/>
        </w:rPr>
        <w:t>年度</w:t>
      </w:r>
      <w:r>
        <w:rPr>
          <w:rFonts w:hint="eastAsia" w:ascii="仿宋" w:hAnsi="仿宋" w:eastAsia="仿宋" w:cs="仿宋"/>
          <w:color w:val="auto"/>
          <w:sz w:val="32"/>
          <w:szCs w:val="32"/>
        </w:rPr>
        <w:t>一般</w:t>
      </w:r>
      <w:r>
        <w:rPr>
          <w:rFonts w:hint="eastAsia" w:ascii="仿宋" w:hAnsi="仿宋" w:eastAsia="仿宋" w:cs="仿宋"/>
          <w:color w:val="auto"/>
          <w:kern w:val="0"/>
          <w:sz w:val="32"/>
          <w:szCs w:val="32"/>
        </w:rPr>
        <w:t>公共预算财政拨款支出</w:t>
      </w:r>
      <w:r>
        <w:rPr>
          <w:rFonts w:hint="eastAsia" w:ascii="仿宋" w:hAnsi="仿宋" w:eastAsia="仿宋" w:cs="仿宋"/>
          <w:kern w:val="0"/>
          <w:sz w:val="32"/>
          <w:szCs w:val="32"/>
          <w:lang w:val="en-US" w:eastAsia="zh-CN"/>
        </w:rPr>
        <w:t>15,434.10</w:t>
      </w:r>
      <w:r>
        <w:rPr>
          <w:rFonts w:hint="eastAsia" w:ascii="仿宋" w:hAnsi="仿宋" w:eastAsia="仿宋" w:cs="仿宋"/>
          <w:color w:val="auto"/>
          <w:kern w:val="0"/>
          <w:sz w:val="32"/>
          <w:szCs w:val="32"/>
        </w:rPr>
        <w:t>万元，较202</w:t>
      </w:r>
      <w:r>
        <w:rPr>
          <w:rFonts w:hint="eastAsia" w:ascii="仿宋" w:hAnsi="仿宋" w:eastAsia="仿宋" w:cs="仿宋"/>
          <w:color w:val="auto"/>
          <w:kern w:val="0"/>
          <w:sz w:val="32"/>
          <w:szCs w:val="32"/>
          <w:lang w:val="en-US" w:eastAsia="zh-CN"/>
        </w:rPr>
        <w:t>4</w:t>
      </w:r>
      <w:r>
        <w:rPr>
          <w:rFonts w:hint="eastAsia" w:ascii="仿宋" w:hAnsi="仿宋" w:eastAsia="仿宋" w:cs="仿宋"/>
          <w:color w:val="auto"/>
          <w:kern w:val="0"/>
          <w:sz w:val="32"/>
          <w:szCs w:val="32"/>
        </w:rPr>
        <w:t>年度决算数</w:t>
      </w:r>
      <w:r>
        <w:rPr>
          <w:rFonts w:hint="eastAsia" w:ascii="仿宋" w:hAnsi="仿宋" w:eastAsia="仿宋" w:cs="仿宋"/>
          <w:color w:val="auto"/>
          <w:kern w:val="0"/>
          <w:sz w:val="32"/>
          <w:szCs w:val="32"/>
          <w:lang w:val="en-US" w:eastAsia="zh-CN"/>
        </w:rPr>
        <w:t>减少</w:t>
      </w:r>
      <w:r>
        <w:rPr>
          <w:rFonts w:hint="eastAsia" w:ascii="仿宋" w:hAnsi="仿宋" w:eastAsia="仿宋" w:cs="仿宋"/>
          <w:kern w:val="0"/>
          <w:sz w:val="32"/>
          <w:szCs w:val="32"/>
          <w:lang w:val="en-US" w:eastAsia="zh-CN"/>
        </w:rPr>
        <w:t>1,621.54</w:t>
      </w:r>
      <w:r>
        <w:rPr>
          <w:rFonts w:hint="eastAsia" w:ascii="仿宋" w:hAnsi="仿宋" w:eastAsia="仿宋" w:cs="仿宋"/>
          <w:kern w:val="0"/>
          <w:sz w:val="32"/>
          <w:szCs w:val="32"/>
        </w:rPr>
        <w:t>万元，</w:t>
      </w:r>
      <w:r>
        <w:rPr>
          <w:rFonts w:hint="eastAsia" w:ascii="仿宋" w:hAnsi="仿宋" w:eastAsia="仿宋" w:cs="仿宋"/>
          <w:kern w:val="0"/>
          <w:sz w:val="32"/>
          <w:szCs w:val="32"/>
          <w:lang w:val="en-US" w:eastAsia="zh-CN"/>
        </w:rPr>
        <w:t>下降9.51</w:t>
      </w:r>
      <w:r>
        <w:rPr>
          <w:rFonts w:hint="eastAsia" w:ascii="仿宋" w:hAnsi="仿宋" w:eastAsia="仿宋" w:cs="仿宋"/>
          <w:kern w:val="0"/>
          <w:sz w:val="32"/>
          <w:szCs w:val="32"/>
          <w:highlight w:val="none"/>
        </w:rPr>
        <w:t>%</w:t>
      </w:r>
      <w:r>
        <w:rPr>
          <w:rFonts w:hint="eastAsia" w:ascii="仿宋" w:hAnsi="仿宋" w:eastAsia="仿宋" w:cs="仿宋"/>
          <w:color w:val="auto"/>
          <w:kern w:val="0"/>
          <w:sz w:val="32"/>
          <w:szCs w:val="32"/>
        </w:rPr>
        <w:t>。其中：基本支出</w:t>
      </w:r>
      <w:r>
        <w:rPr>
          <w:rFonts w:hint="eastAsia" w:ascii="仿宋" w:hAnsi="仿宋" w:eastAsia="仿宋" w:cs="仿宋"/>
          <w:color w:val="auto"/>
          <w:kern w:val="0"/>
          <w:sz w:val="32"/>
          <w:szCs w:val="32"/>
          <w:lang w:val="en-US" w:eastAsia="zh-CN"/>
        </w:rPr>
        <w:t>723.15</w:t>
      </w:r>
      <w:r>
        <w:rPr>
          <w:rFonts w:hint="eastAsia" w:ascii="仿宋" w:hAnsi="仿宋" w:eastAsia="仿宋" w:cs="仿宋"/>
          <w:color w:val="auto"/>
          <w:kern w:val="0"/>
          <w:sz w:val="32"/>
          <w:szCs w:val="32"/>
        </w:rPr>
        <w:t>万元，项目支出</w:t>
      </w:r>
      <w:r>
        <w:rPr>
          <w:rFonts w:hint="eastAsia" w:ascii="仿宋" w:hAnsi="仿宋" w:eastAsia="仿宋" w:cs="仿宋"/>
          <w:color w:val="auto"/>
          <w:kern w:val="0"/>
          <w:sz w:val="32"/>
          <w:szCs w:val="32"/>
          <w:lang w:val="en-US" w:eastAsia="zh-CN"/>
        </w:rPr>
        <w:t>14,710.95</w:t>
      </w:r>
      <w:r>
        <w:rPr>
          <w:rFonts w:hint="eastAsia" w:ascii="仿宋" w:hAnsi="仿宋" w:eastAsia="仿宋" w:cs="仿宋"/>
          <w:color w:val="auto"/>
          <w:kern w:val="0"/>
          <w:sz w:val="32"/>
          <w:szCs w:val="32"/>
        </w:rPr>
        <w:t>万元。</w:t>
      </w:r>
    </w:p>
    <w:p w14:paraId="2F85D35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 w:hAnsi="仿宋" w:eastAsia="仿宋" w:cs="仿宋"/>
          <w:kern w:val="0"/>
          <w:sz w:val="32"/>
          <w:szCs w:val="32"/>
        </w:rPr>
      </w:pPr>
      <w:r>
        <w:rPr>
          <w:rFonts w:hint="eastAsia" w:ascii="仿宋" w:hAnsi="仿宋" w:eastAsia="仿宋" w:cs="仿宋"/>
          <w:bCs/>
          <w:color w:val="auto"/>
          <w:sz w:val="32"/>
          <w:szCs w:val="32"/>
          <w:u w:val="none"/>
        </w:rPr>
        <w:t>广西中医药大学</w:t>
      </w:r>
      <w:r>
        <w:rPr>
          <w:rFonts w:hint="eastAsia" w:ascii="仿宋" w:hAnsi="仿宋" w:eastAsia="仿宋" w:cs="仿宋"/>
          <w:bCs/>
          <w:color w:val="auto"/>
          <w:sz w:val="32"/>
          <w:szCs w:val="32"/>
          <w:u w:val="none"/>
          <w:lang w:val="en-US" w:eastAsia="zh-CN"/>
        </w:rPr>
        <w:t>第二附属医院</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年度</w:t>
      </w:r>
      <w:r>
        <w:rPr>
          <w:rFonts w:hint="eastAsia" w:ascii="仿宋" w:hAnsi="仿宋" w:eastAsia="仿宋" w:cs="仿宋"/>
          <w:sz w:val="32"/>
          <w:szCs w:val="32"/>
        </w:rPr>
        <w:t>一般</w:t>
      </w:r>
      <w:r>
        <w:rPr>
          <w:rFonts w:hint="eastAsia" w:ascii="仿宋" w:hAnsi="仿宋" w:eastAsia="仿宋" w:cs="仿宋"/>
          <w:kern w:val="0"/>
          <w:sz w:val="32"/>
          <w:szCs w:val="32"/>
        </w:rPr>
        <w:t>公共预算财政拨款支出年初预算为</w:t>
      </w:r>
      <w:r>
        <w:rPr>
          <w:rFonts w:hint="eastAsia" w:ascii="仿宋" w:hAnsi="仿宋" w:eastAsia="仿宋" w:cs="仿宋"/>
          <w:kern w:val="0"/>
          <w:sz w:val="32"/>
          <w:szCs w:val="32"/>
          <w:lang w:val="en-US" w:eastAsia="zh-CN"/>
        </w:rPr>
        <w:t>8,684.73</w:t>
      </w:r>
      <w:r>
        <w:rPr>
          <w:rFonts w:hint="eastAsia" w:ascii="仿宋" w:hAnsi="仿宋" w:eastAsia="仿宋" w:cs="仿宋"/>
          <w:kern w:val="0"/>
          <w:sz w:val="32"/>
          <w:szCs w:val="32"/>
        </w:rPr>
        <w:t>元，支出决算为</w:t>
      </w:r>
      <w:r>
        <w:rPr>
          <w:rFonts w:hint="eastAsia" w:ascii="仿宋" w:hAnsi="仿宋" w:eastAsia="仿宋" w:cs="仿宋"/>
          <w:kern w:val="0"/>
          <w:sz w:val="32"/>
          <w:szCs w:val="32"/>
          <w:lang w:val="en-US" w:eastAsia="zh-CN"/>
        </w:rPr>
        <w:t>15,434.10</w:t>
      </w:r>
      <w:r>
        <w:rPr>
          <w:rFonts w:hint="eastAsia" w:ascii="仿宋" w:hAnsi="仿宋" w:eastAsia="仿宋" w:cs="仿宋"/>
          <w:kern w:val="0"/>
          <w:sz w:val="32"/>
          <w:szCs w:val="32"/>
        </w:rPr>
        <w:t>万元，完成年初预算的</w:t>
      </w:r>
      <w:r>
        <w:rPr>
          <w:rFonts w:hint="eastAsia" w:ascii="仿宋" w:hAnsi="仿宋" w:eastAsia="仿宋" w:cs="仿宋"/>
          <w:kern w:val="0"/>
          <w:sz w:val="32"/>
          <w:szCs w:val="32"/>
          <w:lang w:val="en-US" w:eastAsia="zh-CN"/>
        </w:rPr>
        <w:t>177.72</w:t>
      </w:r>
      <w:r>
        <w:rPr>
          <w:rFonts w:hint="eastAsia" w:ascii="仿宋" w:hAnsi="仿宋" w:eastAsia="仿宋" w:cs="仿宋"/>
          <w:kern w:val="0"/>
          <w:sz w:val="32"/>
          <w:szCs w:val="32"/>
        </w:rPr>
        <w:t>%。</w:t>
      </w:r>
    </w:p>
    <w:p w14:paraId="0474C890">
      <w:pPr>
        <w:numPr>
          <w:ilvl w:val="0"/>
          <w:numId w:val="0"/>
        </w:numPr>
        <w:autoSpaceDE w:val="0"/>
        <w:autoSpaceDN w:val="0"/>
        <w:adjustRightInd w:val="0"/>
        <w:spacing w:line="56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bCs/>
          <w:kern w:val="0"/>
          <w:sz w:val="32"/>
          <w:szCs w:val="32"/>
        </w:rPr>
        <w:t>（一）</w:t>
      </w:r>
      <w:r>
        <w:rPr>
          <w:rFonts w:hint="eastAsia" w:ascii="仿宋" w:hAnsi="仿宋" w:eastAsia="仿宋" w:cs="仿宋"/>
          <w:kern w:val="0"/>
          <w:sz w:val="32"/>
          <w:szCs w:val="32"/>
          <w:lang w:val="en-US" w:eastAsia="zh-CN"/>
        </w:rPr>
        <w:t>社会保障和就业支出</w:t>
      </w:r>
      <w:r>
        <w:rPr>
          <w:rFonts w:hint="eastAsia" w:ascii="仿宋" w:hAnsi="仿宋" w:eastAsia="仿宋" w:cs="仿宋"/>
          <w:kern w:val="0"/>
          <w:sz w:val="32"/>
          <w:szCs w:val="32"/>
          <w:lang w:val="en-US" w:eastAsia="zh-CN" w:bidi="ar-SA"/>
        </w:rPr>
        <w:t>年初预算为0万元，支出决算为146.27万元。</w:t>
      </w:r>
    </w:p>
    <w:p w14:paraId="38B61D87">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lang w:val="en-US" w:eastAsia="zh-CN" w:bidi="ar-SA"/>
        </w:rPr>
        <w:t>死亡抚恤62.99万元，主要用于病故人员家属的一次性抚恤金和遗属生活补助。</w:t>
      </w:r>
    </w:p>
    <w:p w14:paraId="09CFC159">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lang w:val="en-US" w:eastAsia="zh-CN" w:bidi="ar-SA"/>
        </w:rPr>
        <w:t>2.事业单位离退休经费</w:t>
      </w:r>
      <w:r>
        <w:rPr>
          <w:rFonts w:hint="eastAsia" w:ascii="仿宋" w:hAnsi="仿宋" w:eastAsia="仿宋" w:cs="仿宋"/>
          <w:kern w:val="0"/>
          <w:sz w:val="32"/>
          <w:szCs w:val="32"/>
          <w:highlight w:val="none"/>
          <w:lang w:val="en-US" w:eastAsia="zh-CN" w:bidi="ar-SA"/>
        </w:rPr>
        <w:t>53.28万元，主要用于离退休人员生活保障支出。</w:t>
      </w:r>
    </w:p>
    <w:p w14:paraId="1A9D34D3">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3.医疗护理员培训和规范管理试点项目30万元，主要用于医疗护理员培训及规范管理试点工作的开展，提升医疗护理服务质量与专业化水平，推动相关制度建设与实践探索。</w:t>
      </w:r>
    </w:p>
    <w:p w14:paraId="24E3E64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（二）卫生健康支出年初预算为</w:t>
      </w:r>
      <w:r>
        <w:rPr>
          <w:rFonts w:hint="eastAsia" w:ascii="仿宋" w:hAnsi="仿宋" w:eastAsia="仿宋" w:cs="仿宋"/>
          <w:kern w:val="0"/>
          <w:sz w:val="32"/>
          <w:szCs w:val="32"/>
          <w:lang w:val="en-US" w:eastAsia="zh-CN"/>
        </w:rPr>
        <w:t>8,393.19</w:t>
      </w:r>
      <w:r>
        <w:rPr>
          <w:rFonts w:hint="eastAsia" w:ascii="仿宋" w:hAnsi="仿宋" w:eastAsia="仿宋" w:cs="仿宋"/>
          <w:kern w:val="0"/>
          <w:sz w:val="32"/>
          <w:szCs w:val="32"/>
        </w:rPr>
        <w:t>万元，支出决算为</w:t>
      </w:r>
      <w:r>
        <w:rPr>
          <w:rFonts w:hint="eastAsia" w:ascii="仿宋" w:hAnsi="仿宋" w:eastAsia="仿宋" w:cs="仿宋"/>
          <w:kern w:val="0"/>
          <w:sz w:val="32"/>
          <w:szCs w:val="32"/>
          <w:lang w:val="en-US" w:eastAsia="zh-CN"/>
        </w:rPr>
        <w:t>23,556.31</w:t>
      </w:r>
      <w:r>
        <w:rPr>
          <w:rFonts w:hint="eastAsia" w:ascii="仿宋" w:hAnsi="仿宋" w:eastAsia="仿宋" w:cs="仿宋"/>
          <w:kern w:val="0"/>
          <w:sz w:val="32"/>
          <w:szCs w:val="32"/>
        </w:rPr>
        <w:t>万元，完成年初预算的</w:t>
      </w:r>
      <w:r>
        <w:rPr>
          <w:rFonts w:hint="eastAsia" w:ascii="仿宋" w:hAnsi="仿宋" w:eastAsia="仿宋" w:cs="仿宋"/>
          <w:kern w:val="0"/>
          <w:sz w:val="32"/>
          <w:szCs w:val="32"/>
          <w:lang w:val="en-US" w:eastAsia="zh-CN"/>
        </w:rPr>
        <w:t>280.66</w:t>
      </w:r>
      <w:r>
        <w:rPr>
          <w:rFonts w:hint="eastAsia" w:ascii="仿宋" w:hAnsi="仿宋" w:eastAsia="仿宋" w:cs="仿宋"/>
          <w:kern w:val="0"/>
          <w:sz w:val="32"/>
          <w:szCs w:val="32"/>
        </w:rPr>
        <w:t>%，预决算的差异主要为年中追加了临床重点专科建设项目</w:t>
      </w:r>
      <w:r>
        <w:rPr>
          <w:rFonts w:hint="eastAsia" w:ascii="仿宋" w:hAnsi="仿宋" w:eastAsia="仿宋" w:cs="仿宋"/>
          <w:kern w:val="0"/>
          <w:sz w:val="32"/>
          <w:szCs w:val="32"/>
          <w:lang w:eastAsia="zh-CN"/>
        </w:rPr>
        <w:t>、</w:t>
      </w:r>
      <w:r>
        <w:rPr>
          <w:rFonts w:hint="eastAsia" w:ascii="仿宋" w:hAnsi="仿宋" w:eastAsia="仿宋" w:cs="仿宋"/>
          <w:kern w:val="0"/>
          <w:sz w:val="32"/>
          <w:szCs w:val="32"/>
          <w:highlight w:val="none"/>
        </w:rPr>
        <w:t>中央财政医疗服务与保障能力提升（卫生健康人才培养）补助资金、2025年中央财政医疗服务与保障能力提升补助资金（中医药事业传承与发展部分）</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中央财政重大公共卫生服务补助资金</w:t>
      </w:r>
      <w:r>
        <w:rPr>
          <w:rFonts w:hint="eastAsia" w:ascii="仿宋" w:hAnsi="仿宋" w:eastAsia="仿宋" w:cs="仿宋"/>
          <w:kern w:val="0"/>
          <w:sz w:val="32"/>
          <w:szCs w:val="32"/>
          <w:highlight w:val="none"/>
          <w:lang w:val="en-US" w:eastAsia="zh-CN"/>
        </w:rPr>
        <w:t>等财政拨款预算指标</w:t>
      </w:r>
      <w:r>
        <w:rPr>
          <w:rFonts w:hint="eastAsia" w:ascii="仿宋" w:hAnsi="仿宋" w:eastAsia="仿宋" w:cs="仿宋"/>
          <w:kern w:val="0"/>
          <w:sz w:val="32"/>
          <w:szCs w:val="32"/>
        </w:rPr>
        <w:t>。</w:t>
      </w:r>
    </w:p>
    <w:p w14:paraId="3825F24C">
      <w:pPr>
        <w:autoSpaceDE w:val="0"/>
        <w:autoSpaceDN w:val="0"/>
        <w:adjustRightInd w:val="0"/>
        <w:spacing w:line="560" w:lineRule="exact"/>
        <w:ind w:right="-15" w:rightChars="-7"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中医（民族）医院7,523.69万元，主要用于广西中医药大学附属瑞康医院中西医协同“旗舰”医院项目、广西中医药大学附属瑞康医院中西医协同“旗舰”医院项目自治区财政配套资金、广西中医药大学附属瑞康医院凤岭南医院医技综合楼项目自治区财政配套资金、2025年中央财政医疗服务与保障能力（卫生健康人才培养）补助资金。</w:t>
      </w:r>
    </w:p>
    <w:p w14:paraId="4E4E4274">
      <w:pPr>
        <w:autoSpaceDE w:val="0"/>
        <w:autoSpaceDN w:val="0"/>
        <w:adjustRightInd w:val="0"/>
        <w:spacing w:line="560" w:lineRule="exact"/>
        <w:ind w:right="-15" w:rightChars="-7"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2.其他公立医院支出726.11万元，主要用于公立医院的医药卫生体制改革补助资金支出。</w:t>
      </w:r>
    </w:p>
    <w:p w14:paraId="1D6FEC57">
      <w:pPr>
        <w:autoSpaceDE w:val="0"/>
        <w:autoSpaceDN w:val="0"/>
        <w:adjustRightInd w:val="0"/>
        <w:spacing w:line="560" w:lineRule="exact"/>
        <w:ind w:right="-15" w:rightChars="-7"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3.城市社区卫生机构90万元，主要用于社区卫生机构正常运转的日常公用经费方面支出。</w:t>
      </w:r>
    </w:p>
    <w:p w14:paraId="64B6E829">
      <w:pPr>
        <w:autoSpaceDE w:val="0"/>
        <w:autoSpaceDN w:val="0"/>
        <w:adjustRightInd w:val="0"/>
        <w:spacing w:line="560" w:lineRule="exact"/>
        <w:ind w:right="-15" w:rightChars="-7"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4.重大公共卫生服务1,285.40万元，主要用于承担重大公共卫生服务项目的人员经费、专用材料购置、专用设备购置等支出。</w:t>
      </w:r>
    </w:p>
    <w:p w14:paraId="670E54CA">
      <w:pPr>
        <w:autoSpaceDE w:val="0"/>
        <w:autoSpaceDN w:val="0"/>
        <w:adjustRightInd w:val="0"/>
        <w:spacing w:line="560" w:lineRule="exact"/>
        <w:ind w:right="-15" w:rightChars="-7"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5.其他公共卫生支出24.56万元，主要用于干部医疗保健支出及医疗卫生适宜技术研究与开发项目支出。</w:t>
      </w:r>
    </w:p>
    <w:p w14:paraId="23E47E05">
      <w:pPr>
        <w:autoSpaceDE w:val="0"/>
        <w:autoSpaceDN w:val="0"/>
        <w:adjustRightInd w:val="0"/>
        <w:spacing w:line="560" w:lineRule="exact"/>
        <w:ind w:right="-15" w:rightChars="-7"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highlight w:val="none"/>
          <w:lang w:val="en-US" w:eastAsia="zh-CN" w:bidi="ar-SA"/>
        </w:rPr>
        <w:t>6.中医（民族医）药专</w:t>
      </w:r>
      <w:r>
        <w:rPr>
          <w:rFonts w:hint="eastAsia" w:ascii="仿宋" w:hAnsi="仿宋" w:eastAsia="仿宋" w:cs="仿宋"/>
          <w:kern w:val="0"/>
          <w:sz w:val="32"/>
          <w:szCs w:val="32"/>
          <w:lang w:val="en-US" w:eastAsia="zh-CN" w:bidi="ar-SA"/>
        </w:rPr>
        <w:t>项3,298.50万元，主要用于中医药人才队伍建设专项经费、中央财政医疗服务与保障能力提升(中医药事业传承与发展部分)、中医药服务体系与能力建设、中医药传承与创新发展专项经费、中医药文化交流及宣传项目等专项支出。</w:t>
      </w:r>
    </w:p>
    <w:p w14:paraId="4EA00EA1">
      <w:pPr>
        <w:autoSpaceDE w:val="0"/>
        <w:autoSpaceDN w:val="0"/>
        <w:adjustRightInd w:val="0"/>
        <w:spacing w:line="560" w:lineRule="exact"/>
        <w:ind w:right="-15" w:rightChars="-7"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7.事业单位医疗299.64万元，主要用于医疗保险等支出。</w:t>
      </w:r>
    </w:p>
    <w:p w14:paraId="14163495">
      <w:pPr>
        <w:autoSpaceDE w:val="0"/>
        <w:autoSpaceDN w:val="0"/>
        <w:adjustRightInd w:val="0"/>
        <w:spacing w:line="560" w:lineRule="exact"/>
        <w:ind w:right="-15" w:rightChars="-7"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8.其他卫生健康支出1,748.38万元，主要用于中央财政医疗服务与保障能力提升（卫生健康人才培养）、医疗服务与保障能力提升（卫生健康人才培养）、医药卫生人才队伍建设专项资金、医疗服务与保障能力提升（医疗卫生机构能力建设）、医疗卫生适宜技术研究与开发项目经费、广西中医药大学附属瑞康医院凤岭南医院等专项支出。</w:t>
      </w:r>
    </w:p>
    <w:p w14:paraId="7C55AB85">
      <w:pPr>
        <w:autoSpaceDE w:val="0"/>
        <w:autoSpaceDN w:val="0"/>
        <w:adjustRightInd w:val="0"/>
        <w:spacing w:line="560" w:lineRule="exact"/>
        <w:ind w:right="-15" w:rightChars="-7"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SA"/>
        </w:rPr>
        <w:t>（三）住房保障支出年初预算为291.55万元，支出决算为291.55万元，完成年初预算的100%。主要用于在职职工住房公积金。</w:t>
      </w:r>
    </w:p>
    <w:p w14:paraId="2F8A08E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黑体" w:hAnsi="黑体" w:eastAsia="黑体" w:cs="仿宋_GB2312"/>
          <w:kern w:val="0"/>
          <w:sz w:val="32"/>
          <w:szCs w:val="32"/>
        </w:rPr>
      </w:pPr>
      <w:r>
        <w:rPr>
          <w:rFonts w:hint="eastAsia" w:ascii="黑体" w:hAnsi="黑体" w:eastAsia="黑体" w:cs="仿宋_GB2312"/>
          <w:kern w:val="0"/>
          <w:sz w:val="32"/>
          <w:szCs w:val="32"/>
        </w:rPr>
        <w:t>三、202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rPr>
        <w:t>年度一般公共预算财政拨款基本支出决算情况说明</w:t>
      </w:r>
    </w:p>
    <w:p w14:paraId="75D1E2A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年度</w:t>
      </w:r>
      <w:r>
        <w:rPr>
          <w:rFonts w:hint="eastAsia" w:ascii="仿宋" w:hAnsi="仿宋" w:eastAsia="仿宋" w:cs="仿宋"/>
          <w:sz w:val="32"/>
          <w:szCs w:val="32"/>
        </w:rPr>
        <w:t>一般</w:t>
      </w:r>
      <w:r>
        <w:rPr>
          <w:rFonts w:hint="eastAsia" w:ascii="仿宋" w:hAnsi="仿宋" w:eastAsia="仿宋" w:cs="仿宋"/>
          <w:kern w:val="0"/>
          <w:sz w:val="32"/>
          <w:szCs w:val="32"/>
        </w:rPr>
        <w:t>公共预算财政拨款基本支出</w:t>
      </w:r>
      <w:r>
        <w:rPr>
          <w:rFonts w:hint="eastAsia" w:ascii="仿宋" w:hAnsi="仿宋" w:eastAsia="仿宋" w:cs="仿宋"/>
          <w:kern w:val="0"/>
          <w:sz w:val="32"/>
          <w:szCs w:val="32"/>
          <w:lang w:val="en-US" w:eastAsia="zh-CN"/>
        </w:rPr>
        <w:t>723.15</w:t>
      </w:r>
      <w:r>
        <w:rPr>
          <w:rFonts w:hint="eastAsia" w:ascii="仿宋" w:hAnsi="仿宋" w:eastAsia="仿宋" w:cs="仿宋"/>
          <w:kern w:val="0"/>
          <w:sz w:val="32"/>
          <w:szCs w:val="32"/>
        </w:rPr>
        <w:t>万元，支出具体情况如下：</w:t>
      </w:r>
    </w:p>
    <w:p w14:paraId="6879806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楷体" w:hAnsi="楷体" w:eastAsia="楷体" w:cs="楷体"/>
          <w:bCs/>
          <w:kern w:val="0"/>
          <w:sz w:val="32"/>
          <w:szCs w:val="32"/>
        </w:rPr>
      </w:pPr>
      <w:r>
        <w:rPr>
          <w:rFonts w:hint="eastAsia" w:ascii="楷体" w:hAnsi="楷体" w:eastAsia="楷体" w:cs="楷体"/>
          <w:bCs/>
          <w:kern w:val="0"/>
          <w:sz w:val="32"/>
          <w:szCs w:val="32"/>
        </w:rPr>
        <w:t>（一）工资福利支出</w:t>
      </w:r>
      <w:r>
        <w:rPr>
          <w:rFonts w:hint="eastAsia" w:ascii="楷体" w:hAnsi="楷体" w:eastAsia="楷体" w:cs="楷体"/>
          <w:kern w:val="0"/>
          <w:sz w:val="32"/>
          <w:szCs w:val="32"/>
          <w:lang w:val="en-US" w:eastAsia="zh-CN"/>
        </w:rPr>
        <w:t>591.19</w:t>
      </w:r>
      <w:r>
        <w:rPr>
          <w:rFonts w:hint="eastAsia" w:ascii="楷体" w:hAnsi="楷体" w:eastAsia="楷体" w:cs="楷体"/>
          <w:bCs/>
          <w:kern w:val="0"/>
          <w:sz w:val="32"/>
          <w:szCs w:val="32"/>
        </w:rPr>
        <w:t>万元，完成年初预算的</w:t>
      </w:r>
      <w:r>
        <w:rPr>
          <w:rFonts w:hint="eastAsia" w:ascii="楷体" w:hAnsi="楷体" w:eastAsia="楷体" w:cs="楷体"/>
          <w:kern w:val="0"/>
          <w:sz w:val="32"/>
          <w:szCs w:val="32"/>
          <w:lang w:val="en-US" w:eastAsia="zh-CN"/>
        </w:rPr>
        <w:t>100</w:t>
      </w:r>
      <w:r>
        <w:rPr>
          <w:rFonts w:hint="eastAsia" w:ascii="楷体" w:hAnsi="楷体" w:eastAsia="楷体" w:cs="楷体"/>
          <w:bCs/>
          <w:kern w:val="0"/>
          <w:sz w:val="32"/>
          <w:szCs w:val="32"/>
        </w:rPr>
        <w:t>%。</w:t>
      </w:r>
    </w:p>
    <w:p w14:paraId="4964FBA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楷体" w:hAnsi="楷体" w:eastAsia="楷体" w:cs="楷体"/>
          <w:bCs/>
          <w:kern w:val="0"/>
          <w:sz w:val="32"/>
          <w:szCs w:val="32"/>
        </w:rPr>
      </w:pPr>
      <w:r>
        <w:rPr>
          <w:rFonts w:hint="eastAsia" w:ascii="楷体" w:hAnsi="楷体" w:eastAsia="楷体" w:cs="楷体"/>
          <w:bCs/>
          <w:kern w:val="0"/>
          <w:sz w:val="32"/>
          <w:szCs w:val="32"/>
        </w:rPr>
        <w:t>（二）</w:t>
      </w:r>
      <w:r>
        <w:rPr>
          <w:rFonts w:hint="eastAsia" w:ascii="楷体" w:hAnsi="楷体" w:eastAsia="楷体" w:cs="楷体"/>
          <w:bCs/>
          <w:kern w:val="0"/>
          <w:sz w:val="32"/>
          <w:szCs w:val="32"/>
          <w:lang w:val="en-US" w:eastAsia="zh-CN"/>
        </w:rPr>
        <w:t>对个人和家庭的补助131.96万元，完成年初预算的100%。</w:t>
      </w:r>
    </w:p>
    <w:p w14:paraId="2B41BE9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黑体" w:hAnsi="黑体" w:eastAsia="黑体" w:cs="仿宋_GB2312"/>
          <w:kern w:val="0"/>
          <w:sz w:val="32"/>
          <w:szCs w:val="32"/>
        </w:rPr>
      </w:pPr>
      <w:r>
        <w:rPr>
          <w:rFonts w:hint="eastAsia" w:ascii="黑体" w:hAnsi="黑体" w:eastAsia="黑体" w:cs="仿宋_GB2312"/>
          <w:kern w:val="0"/>
          <w:sz w:val="32"/>
          <w:szCs w:val="32"/>
        </w:rPr>
        <w:t>四、202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rPr>
        <w:t>年度政府性基金支出决算情况</w:t>
      </w:r>
    </w:p>
    <w:p w14:paraId="37AE0043">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仿宋" w:hAnsi="仿宋" w:eastAsia="仿宋" w:cs="仿宋"/>
          <w:bCs/>
          <w:color w:val="000000"/>
          <w:kern w:val="0"/>
          <w:sz w:val="32"/>
          <w:szCs w:val="32"/>
          <w:u w:val="none"/>
          <w:lang w:val="en-US" w:eastAsia="zh-CN"/>
        </w:rPr>
      </w:pPr>
      <w:r>
        <w:rPr>
          <w:rFonts w:hint="eastAsia" w:ascii="仿宋" w:hAnsi="仿宋" w:eastAsia="仿宋" w:cs="仿宋"/>
          <w:bCs/>
          <w:color w:val="000000"/>
          <w:sz w:val="32"/>
          <w:szCs w:val="32"/>
          <w:u w:val="none"/>
        </w:rPr>
        <w:t xml:space="preserve"> 本年政府性基金预算财政拨款收入</w:t>
      </w:r>
      <w:r>
        <w:rPr>
          <w:rFonts w:hint="eastAsia" w:ascii="仿宋" w:hAnsi="仿宋" w:eastAsia="仿宋" w:cs="仿宋"/>
          <w:bCs/>
          <w:color w:val="000000"/>
          <w:sz w:val="32"/>
          <w:szCs w:val="32"/>
          <w:u w:val="none"/>
          <w:lang w:val="en-US" w:eastAsia="zh-CN"/>
        </w:rPr>
        <w:t>8,560.03万元</w:t>
      </w:r>
      <w:r>
        <w:rPr>
          <w:rFonts w:hint="eastAsia" w:ascii="仿宋" w:hAnsi="仿宋" w:eastAsia="仿宋" w:cs="仿宋"/>
          <w:bCs/>
          <w:color w:val="000000"/>
          <w:sz w:val="32"/>
          <w:szCs w:val="32"/>
          <w:u w:val="none"/>
        </w:rPr>
        <w:t>，政府性基金预算安排的支出</w:t>
      </w:r>
      <w:r>
        <w:rPr>
          <w:rFonts w:hint="eastAsia" w:ascii="仿宋" w:hAnsi="仿宋" w:eastAsia="仿宋" w:cs="仿宋"/>
          <w:bCs/>
          <w:color w:val="000000"/>
          <w:sz w:val="32"/>
          <w:szCs w:val="32"/>
          <w:u w:val="none"/>
          <w:lang w:val="en-US" w:eastAsia="zh-CN"/>
        </w:rPr>
        <w:t>8,560.03</w:t>
      </w:r>
      <w:r>
        <w:rPr>
          <w:rFonts w:hint="eastAsia" w:ascii="仿宋" w:hAnsi="仿宋" w:eastAsia="仿宋" w:cs="仿宋"/>
          <w:bCs/>
          <w:color w:val="000000"/>
          <w:sz w:val="32"/>
          <w:szCs w:val="32"/>
          <w:u w:val="none"/>
        </w:rPr>
        <w:t>。</w:t>
      </w:r>
    </w:p>
    <w:p w14:paraId="5775F73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黑体" w:hAnsi="黑体" w:eastAsia="黑体" w:cs="仿宋_GB2312"/>
          <w:kern w:val="0"/>
          <w:sz w:val="32"/>
          <w:szCs w:val="32"/>
        </w:rPr>
      </w:pPr>
      <w:r>
        <w:rPr>
          <w:rFonts w:hint="eastAsia" w:ascii="黑体" w:hAnsi="黑体" w:eastAsia="黑体" w:cs="仿宋_GB2312"/>
          <w:kern w:val="0"/>
          <w:sz w:val="32"/>
          <w:szCs w:val="32"/>
        </w:rPr>
        <w:t>五、202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rPr>
        <w:t>年度国有资本经营预算支出决算情况</w:t>
      </w:r>
    </w:p>
    <w:p w14:paraId="12ED012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 w:hAnsi="仿宋" w:eastAsia="仿宋" w:cs="仿宋"/>
          <w:kern w:val="0"/>
          <w:sz w:val="32"/>
          <w:szCs w:val="32"/>
          <w:lang w:bidi="ar-SA"/>
        </w:rPr>
      </w:pPr>
      <w:r>
        <w:rPr>
          <w:rFonts w:hint="eastAsia" w:ascii="仿宋" w:hAnsi="仿宋" w:eastAsia="仿宋" w:cs="仿宋"/>
          <w:kern w:val="0"/>
          <w:sz w:val="32"/>
          <w:szCs w:val="32"/>
          <w:lang w:bidi="ar-SA"/>
        </w:rPr>
        <w:t>本</w:t>
      </w:r>
      <w:r>
        <w:rPr>
          <w:rFonts w:hint="eastAsia" w:ascii="仿宋" w:hAnsi="仿宋" w:eastAsia="仿宋" w:cs="仿宋"/>
          <w:kern w:val="0"/>
          <w:sz w:val="32"/>
          <w:szCs w:val="32"/>
          <w:lang w:val="en-US" w:eastAsia="zh-CN" w:bidi="ar-SA"/>
        </w:rPr>
        <w:t>年无</w:t>
      </w:r>
      <w:r>
        <w:rPr>
          <w:rFonts w:hint="eastAsia" w:ascii="仿宋" w:hAnsi="仿宋" w:eastAsia="仿宋" w:cs="仿宋"/>
          <w:kern w:val="0"/>
          <w:sz w:val="32"/>
          <w:szCs w:val="32"/>
          <w:lang w:bidi="ar-SA"/>
        </w:rPr>
        <w:t>国有资本经营预算财政拨款收入，</w:t>
      </w:r>
      <w:r>
        <w:rPr>
          <w:rFonts w:hint="eastAsia" w:ascii="仿宋" w:hAnsi="仿宋" w:eastAsia="仿宋" w:cs="仿宋"/>
          <w:kern w:val="0"/>
          <w:sz w:val="32"/>
          <w:szCs w:val="32"/>
          <w:lang w:val="en-US" w:eastAsia="zh-CN" w:bidi="ar-SA"/>
        </w:rPr>
        <w:t>无</w:t>
      </w:r>
      <w:r>
        <w:rPr>
          <w:rFonts w:hint="eastAsia" w:ascii="仿宋" w:hAnsi="仿宋" w:eastAsia="仿宋" w:cs="仿宋"/>
          <w:kern w:val="0"/>
          <w:sz w:val="32"/>
          <w:szCs w:val="32"/>
          <w:lang w:bidi="ar-SA"/>
        </w:rPr>
        <w:t>国有资本经营预算安排的支出，故国有资本经营预算财政拨款收入支出决算无数据。</w:t>
      </w:r>
    </w:p>
    <w:p w14:paraId="6DDEB48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黑体" w:hAnsi="黑体" w:eastAsia="黑体" w:cs="仿宋_GB2312"/>
          <w:kern w:val="0"/>
          <w:sz w:val="32"/>
          <w:szCs w:val="32"/>
        </w:rPr>
      </w:pPr>
      <w:r>
        <w:rPr>
          <w:rFonts w:hint="eastAsia" w:ascii="黑体" w:hAnsi="黑体" w:eastAsia="黑体" w:cs="仿宋_GB2312"/>
          <w:kern w:val="0"/>
          <w:sz w:val="32"/>
          <w:szCs w:val="32"/>
        </w:rPr>
        <w:t>六、财政拨款安排的“三公”经费支出决算情况说明</w:t>
      </w:r>
    </w:p>
    <w:p w14:paraId="18D9A829">
      <w:pPr>
        <w:autoSpaceDE w:val="0"/>
        <w:autoSpaceDN w:val="0"/>
        <w:adjustRightInd w:val="0"/>
        <w:spacing w:line="560" w:lineRule="exact"/>
        <w:ind w:firstLine="640" w:firstLineChars="200"/>
        <w:jc w:val="left"/>
        <w:rPr>
          <w:rFonts w:hint="eastAsia" w:ascii="仿宋" w:hAnsi="仿宋" w:eastAsia="仿宋" w:cs="仿宋"/>
          <w:kern w:val="0"/>
          <w:sz w:val="32"/>
          <w:szCs w:val="32"/>
          <w:lang w:bidi="ar-SA"/>
        </w:rPr>
      </w:pPr>
      <w:r>
        <w:rPr>
          <w:rFonts w:hint="eastAsia" w:ascii="仿宋" w:hAnsi="仿宋" w:eastAsia="仿宋" w:cs="仿宋"/>
          <w:kern w:val="0"/>
          <w:sz w:val="32"/>
          <w:szCs w:val="32"/>
          <w:lang w:bidi="ar-SA"/>
        </w:rPr>
        <w:t>按财厅要求，原则上将不再用财政拨款资金安排公益二类单位“三公两费”经费。所以本</w:t>
      </w:r>
      <w:r>
        <w:rPr>
          <w:rFonts w:hint="eastAsia" w:ascii="仿宋" w:hAnsi="仿宋" w:eastAsia="仿宋" w:cs="仿宋"/>
          <w:kern w:val="0"/>
          <w:sz w:val="32"/>
          <w:szCs w:val="32"/>
          <w:lang w:val="en-US" w:eastAsia="zh-CN" w:bidi="ar-SA"/>
        </w:rPr>
        <w:t>部门</w:t>
      </w:r>
      <w:r>
        <w:rPr>
          <w:rFonts w:hint="eastAsia" w:ascii="仿宋" w:hAnsi="仿宋" w:eastAsia="仿宋" w:cs="仿宋"/>
          <w:kern w:val="0"/>
          <w:sz w:val="32"/>
          <w:szCs w:val="32"/>
          <w:lang w:bidi="ar-SA"/>
        </w:rPr>
        <w:t>202</w:t>
      </w:r>
      <w:r>
        <w:rPr>
          <w:rFonts w:hint="eastAsia" w:ascii="仿宋" w:hAnsi="仿宋" w:eastAsia="仿宋" w:cs="仿宋"/>
          <w:kern w:val="0"/>
          <w:sz w:val="32"/>
          <w:szCs w:val="32"/>
          <w:lang w:val="en-US" w:eastAsia="zh-CN" w:bidi="ar-SA"/>
        </w:rPr>
        <w:t>5</w:t>
      </w:r>
      <w:r>
        <w:rPr>
          <w:rFonts w:hint="eastAsia" w:ascii="仿宋" w:hAnsi="仿宋" w:eastAsia="仿宋" w:cs="仿宋"/>
          <w:kern w:val="0"/>
          <w:sz w:val="32"/>
          <w:szCs w:val="32"/>
          <w:lang w:bidi="ar-SA"/>
        </w:rPr>
        <w:t>年</w:t>
      </w:r>
      <w:r>
        <w:rPr>
          <w:rFonts w:hint="eastAsia" w:ascii="仿宋" w:hAnsi="仿宋" w:eastAsia="仿宋" w:cs="仿宋"/>
          <w:kern w:val="0"/>
          <w:sz w:val="32"/>
          <w:szCs w:val="32"/>
          <w:lang w:val="en-US" w:eastAsia="zh-CN" w:bidi="ar-SA"/>
        </w:rPr>
        <w:t>无</w:t>
      </w:r>
      <w:r>
        <w:rPr>
          <w:rFonts w:hint="eastAsia" w:ascii="仿宋" w:hAnsi="仿宋" w:eastAsia="仿宋" w:cs="仿宋"/>
          <w:kern w:val="0"/>
          <w:sz w:val="32"/>
          <w:szCs w:val="32"/>
          <w:lang w:bidi="ar-SA"/>
        </w:rPr>
        <w:t>一般公共预算拨款的“三公”经费支出。</w:t>
      </w:r>
    </w:p>
    <w:p w14:paraId="17509143">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both"/>
        <w:textAlignment w:val="auto"/>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428BDA8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楷体_GB2312" w:eastAsia="楷体_GB2312" w:cs="仿宋_GB2312"/>
          <w:kern w:val="0"/>
          <w:sz w:val="32"/>
          <w:szCs w:val="32"/>
        </w:rPr>
      </w:pPr>
      <w:r>
        <w:rPr>
          <w:rFonts w:hint="eastAsia" w:ascii="楷体_GB2312" w:eastAsia="楷体_GB2312" w:cs="仿宋_GB2312"/>
          <w:kern w:val="0"/>
          <w:sz w:val="32"/>
          <w:szCs w:val="32"/>
        </w:rPr>
        <w:t>（一）机关运行经费支出情况说明。</w:t>
      </w:r>
    </w:p>
    <w:p w14:paraId="24BA6C4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lang w:bidi="ar-SA"/>
        </w:rPr>
        <w:t>本部门无机关运行经费支出。</w:t>
      </w:r>
    </w:p>
    <w:p w14:paraId="19FFB18C">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楷体_GB2312" w:eastAsia="楷体_GB2312" w:cs="仿宋_GB2312"/>
          <w:kern w:val="0"/>
          <w:sz w:val="32"/>
          <w:szCs w:val="32"/>
        </w:rPr>
      </w:pPr>
      <w:r>
        <w:rPr>
          <w:rFonts w:hint="eastAsia" w:ascii="楷体_GB2312" w:eastAsia="楷体_GB2312" w:cs="仿宋_GB2312"/>
          <w:kern w:val="0"/>
          <w:sz w:val="32"/>
          <w:szCs w:val="32"/>
          <w:lang w:eastAsia="zh-CN"/>
        </w:rPr>
        <w:t>（</w:t>
      </w:r>
      <w:r>
        <w:rPr>
          <w:rFonts w:hint="eastAsia" w:ascii="楷体_GB2312" w:eastAsia="楷体_GB2312" w:cs="仿宋_GB2312"/>
          <w:kern w:val="0"/>
          <w:sz w:val="32"/>
          <w:szCs w:val="32"/>
          <w:lang w:val="en-US" w:eastAsia="zh-CN"/>
        </w:rPr>
        <w:t>二）</w:t>
      </w:r>
      <w:r>
        <w:rPr>
          <w:rFonts w:hint="eastAsia" w:ascii="楷体_GB2312" w:eastAsia="楷体_GB2312" w:cs="仿宋_GB2312"/>
          <w:kern w:val="0"/>
          <w:sz w:val="32"/>
          <w:szCs w:val="32"/>
        </w:rPr>
        <w:t>政府采购支出情况说明。</w:t>
      </w:r>
    </w:p>
    <w:p w14:paraId="79B547F6">
      <w:pPr>
        <w:autoSpaceDE w:val="0"/>
        <w:autoSpaceDN w:val="0"/>
        <w:adjustRightInd w:val="0"/>
        <w:spacing w:line="560" w:lineRule="exact"/>
        <w:ind w:firstLine="640" w:firstLineChars="200"/>
        <w:jc w:val="both"/>
        <w:rPr>
          <w:rFonts w:hint="eastAsia" w:ascii="仿宋" w:hAnsi="仿宋" w:eastAsia="仿宋" w:cs="仿宋"/>
          <w:color w:val="auto"/>
          <w:kern w:val="0"/>
          <w:sz w:val="32"/>
          <w:szCs w:val="32"/>
        </w:rPr>
      </w:pPr>
      <w:r>
        <w:rPr>
          <w:rFonts w:hint="eastAsia" w:ascii="仿宋" w:hAnsi="仿宋" w:eastAsia="仿宋" w:cs="仿宋"/>
          <w:kern w:val="0"/>
          <w:sz w:val="32"/>
          <w:szCs w:val="32"/>
        </w:rPr>
        <w:t>本部门202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年度政府采购支出总额</w:t>
      </w:r>
      <w:r>
        <w:rPr>
          <w:rFonts w:hint="eastAsia" w:ascii="仿宋" w:hAnsi="仿宋" w:eastAsia="仿宋" w:cs="仿宋"/>
          <w:kern w:val="0"/>
          <w:sz w:val="32"/>
          <w:szCs w:val="32"/>
          <w:lang w:val="en-US" w:eastAsia="zh-CN"/>
        </w:rPr>
        <w:t>10,254.95</w:t>
      </w:r>
      <w:r>
        <w:rPr>
          <w:rFonts w:hint="eastAsia" w:ascii="仿宋" w:hAnsi="仿宋" w:eastAsia="仿宋" w:cs="仿宋"/>
          <w:kern w:val="0"/>
          <w:sz w:val="32"/>
          <w:szCs w:val="32"/>
        </w:rPr>
        <w:t>万元，其中：政府采购货物支出</w:t>
      </w:r>
      <w:r>
        <w:rPr>
          <w:rFonts w:hint="eastAsia" w:ascii="仿宋" w:hAnsi="仿宋" w:eastAsia="仿宋" w:cs="仿宋"/>
          <w:kern w:val="0"/>
          <w:sz w:val="32"/>
          <w:szCs w:val="32"/>
          <w:lang w:val="en-US" w:eastAsia="zh-CN"/>
        </w:rPr>
        <w:t>9,906.69</w:t>
      </w:r>
      <w:r>
        <w:rPr>
          <w:rFonts w:hint="eastAsia" w:ascii="仿宋" w:hAnsi="仿宋" w:eastAsia="仿宋" w:cs="仿宋"/>
          <w:kern w:val="0"/>
          <w:sz w:val="32"/>
          <w:szCs w:val="32"/>
        </w:rPr>
        <w:t>万元、政府采购服务支出</w:t>
      </w:r>
      <w:r>
        <w:rPr>
          <w:rFonts w:hint="eastAsia" w:ascii="仿宋" w:hAnsi="仿宋" w:eastAsia="仿宋" w:cs="仿宋"/>
          <w:kern w:val="0"/>
          <w:sz w:val="32"/>
          <w:szCs w:val="32"/>
          <w:lang w:val="en-US" w:eastAsia="zh-CN"/>
        </w:rPr>
        <w:t>348.26</w:t>
      </w:r>
      <w:r>
        <w:rPr>
          <w:rFonts w:hint="eastAsia" w:ascii="仿宋" w:hAnsi="仿宋" w:eastAsia="仿宋" w:cs="仿宋"/>
          <w:kern w:val="0"/>
          <w:sz w:val="32"/>
          <w:szCs w:val="32"/>
        </w:rPr>
        <w:t>万元。授予中小企业合同金额</w:t>
      </w:r>
      <w:r>
        <w:rPr>
          <w:rFonts w:hint="eastAsia" w:ascii="仿宋" w:hAnsi="仿宋" w:eastAsia="仿宋" w:cs="仿宋"/>
          <w:kern w:val="0"/>
          <w:sz w:val="32"/>
          <w:szCs w:val="32"/>
          <w:lang w:val="en-US" w:eastAsia="zh-CN"/>
        </w:rPr>
        <w:t>5,885.55</w:t>
      </w:r>
      <w:r>
        <w:rPr>
          <w:rFonts w:hint="eastAsia" w:ascii="仿宋" w:hAnsi="仿宋" w:eastAsia="仿宋" w:cs="仿宋"/>
          <w:kern w:val="0"/>
          <w:sz w:val="32"/>
          <w:szCs w:val="32"/>
        </w:rPr>
        <w:t>万元，占政府采购支出总额的</w:t>
      </w:r>
      <w:r>
        <w:rPr>
          <w:rFonts w:hint="eastAsia" w:ascii="仿宋" w:hAnsi="仿宋" w:eastAsia="仿宋" w:cs="仿宋"/>
          <w:kern w:val="0"/>
          <w:sz w:val="32"/>
          <w:szCs w:val="32"/>
          <w:lang w:val="en-US" w:eastAsia="zh-CN"/>
        </w:rPr>
        <w:t>57.39</w:t>
      </w:r>
      <w:r>
        <w:rPr>
          <w:rFonts w:hint="eastAsia" w:ascii="仿宋" w:hAnsi="仿宋" w:eastAsia="仿宋" w:cs="仿宋"/>
          <w:kern w:val="0"/>
          <w:sz w:val="32"/>
          <w:szCs w:val="32"/>
        </w:rPr>
        <w:t>%，其中：授予小微企业合同金额</w:t>
      </w:r>
      <w:r>
        <w:rPr>
          <w:rFonts w:hint="eastAsia" w:ascii="仿宋" w:hAnsi="仿宋" w:eastAsia="仿宋" w:cs="仿宋"/>
          <w:kern w:val="0"/>
          <w:sz w:val="32"/>
          <w:szCs w:val="32"/>
          <w:lang w:val="en-US" w:eastAsia="zh-CN"/>
        </w:rPr>
        <w:t>4,813.57</w:t>
      </w:r>
      <w:r>
        <w:rPr>
          <w:rFonts w:hint="eastAsia" w:ascii="仿宋" w:hAnsi="仿宋" w:eastAsia="仿宋" w:cs="仿宋"/>
          <w:kern w:val="0"/>
          <w:sz w:val="32"/>
          <w:szCs w:val="32"/>
        </w:rPr>
        <w:t>万元，占授予中小企业合同金额的</w:t>
      </w:r>
      <w:r>
        <w:rPr>
          <w:rFonts w:hint="eastAsia" w:ascii="仿宋" w:hAnsi="仿宋" w:eastAsia="仿宋" w:cs="仿宋"/>
          <w:kern w:val="0"/>
          <w:sz w:val="32"/>
          <w:szCs w:val="32"/>
          <w:lang w:val="en-US" w:eastAsia="zh-CN"/>
        </w:rPr>
        <w:t>81.79</w:t>
      </w:r>
      <w:r>
        <w:rPr>
          <w:rFonts w:hint="eastAsia" w:ascii="仿宋" w:hAnsi="仿宋" w:eastAsia="仿宋" w:cs="仿宋"/>
          <w:kern w:val="0"/>
          <w:sz w:val="32"/>
          <w:szCs w:val="32"/>
          <w:highlight w:val="none"/>
        </w:rPr>
        <w:t>%。</w:t>
      </w:r>
    </w:p>
    <w:p w14:paraId="70C6F19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14:paraId="5254955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截至202</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年12月31日，本部门共有车辆</w:t>
      </w:r>
      <w:r>
        <w:rPr>
          <w:rFonts w:hint="eastAsia" w:ascii="仿宋" w:hAnsi="仿宋" w:eastAsia="仿宋" w:cs="仿宋"/>
          <w:kern w:val="0"/>
          <w:sz w:val="32"/>
          <w:szCs w:val="32"/>
          <w:highlight w:val="none"/>
          <w:lang w:val="en-US" w:eastAsia="zh-CN"/>
        </w:rPr>
        <w:t>17</w:t>
      </w:r>
      <w:r>
        <w:rPr>
          <w:rFonts w:hint="eastAsia" w:ascii="仿宋" w:hAnsi="仿宋" w:eastAsia="仿宋" w:cs="仿宋"/>
          <w:kern w:val="0"/>
          <w:sz w:val="32"/>
          <w:szCs w:val="32"/>
          <w:highlight w:val="none"/>
        </w:rPr>
        <w:t>辆，其中：特种专业技术用车</w:t>
      </w:r>
      <w:r>
        <w:rPr>
          <w:rFonts w:hint="eastAsia" w:ascii="仿宋" w:hAnsi="仿宋" w:eastAsia="仿宋" w:cs="仿宋"/>
          <w:kern w:val="0"/>
          <w:sz w:val="32"/>
          <w:szCs w:val="32"/>
          <w:highlight w:val="none"/>
          <w:lang w:val="en-US" w:eastAsia="zh-CN"/>
        </w:rPr>
        <w:t>11</w:t>
      </w:r>
      <w:r>
        <w:rPr>
          <w:rFonts w:hint="eastAsia" w:ascii="仿宋" w:hAnsi="仿宋" w:eastAsia="仿宋" w:cs="仿宋"/>
          <w:kern w:val="0"/>
          <w:sz w:val="32"/>
          <w:szCs w:val="32"/>
          <w:highlight w:val="none"/>
        </w:rPr>
        <w:t>辆、其他用车</w:t>
      </w:r>
      <w:r>
        <w:rPr>
          <w:rFonts w:hint="eastAsia" w:ascii="仿宋" w:hAnsi="仿宋" w:eastAsia="仿宋" w:cs="仿宋"/>
          <w:kern w:val="0"/>
          <w:sz w:val="32"/>
          <w:szCs w:val="32"/>
          <w:highlight w:val="none"/>
          <w:lang w:val="en-US" w:eastAsia="zh-CN"/>
        </w:rPr>
        <w:t>6</w:t>
      </w:r>
      <w:r>
        <w:rPr>
          <w:rFonts w:hint="eastAsia" w:ascii="仿宋" w:hAnsi="仿宋" w:eastAsia="仿宋" w:cs="仿宋"/>
          <w:kern w:val="0"/>
          <w:sz w:val="32"/>
          <w:szCs w:val="32"/>
          <w:highlight w:val="none"/>
        </w:rPr>
        <w:t>辆；单位价值50万元以上通用设备</w:t>
      </w:r>
      <w:r>
        <w:rPr>
          <w:rFonts w:hint="eastAsia" w:ascii="仿宋" w:hAnsi="仿宋" w:eastAsia="仿宋" w:cs="仿宋"/>
          <w:kern w:val="0"/>
          <w:sz w:val="32"/>
          <w:szCs w:val="32"/>
          <w:highlight w:val="none"/>
          <w:lang w:val="en-US" w:eastAsia="zh-CN"/>
        </w:rPr>
        <w:t>10</w:t>
      </w:r>
      <w:r>
        <w:rPr>
          <w:rFonts w:hint="eastAsia" w:ascii="仿宋" w:hAnsi="仿宋" w:eastAsia="仿宋" w:cs="仿宋"/>
          <w:kern w:val="0"/>
          <w:sz w:val="32"/>
          <w:szCs w:val="32"/>
          <w:highlight w:val="none"/>
        </w:rPr>
        <w:t>台（套）；单位价值100万元以上专用设备</w:t>
      </w:r>
      <w:r>
        <w:rPr>
          <w:rFonts w:hint="eastAsia" w:ascii="仿宋" w:hAnsi="仿宋" w:eastAsia="仿宋" w:cs="仿宋"/>
          <w:kern w:val="0"/>
          <w:sz w:val="32"/>
          <w:szCs w:val="32"/>
          <w:highlight w:val="none"/>
          <w:lang w:val="en-US" w:eastAsia="zh-CN"/>
        </w:rPr>
        <w:t>123</w:t>
      </w:r>
      <w:r>
        <w:rPr>
          <w:rFonts w:hint="eastAsia" w:ascii="仿宋" w:hAnsi="仿宋" w:eastAsia="仿宋" w:cs="仿宋"/>
          <w:kern w:val="0"/>
          <w:sz w:val="32"/>
          <w:szCs w:val="32"/>
          <w:highlight w:val="none"/>
        </w:rPr>
        <w:t>台（套）。</w:t>
      </w:r>
    </w:p>
    <w:p w14:paraId="7D052E2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楷体_GB2312" w:eastAsia="楷体_GB2312" w:cs="仿宋_GB2312"/>
          <w:kern w:val="0"/>
          <w:sz w:val="32"/>
          <w:szCs w:val="32"/>
        </w:rPr>
      </w:pPr>
      <w:r>
        <w:rPr>
          <w:rFonts w:hint="eastAsia" w:ascii="黑体" w:hAnsi="黑体" w:eastAsia="黑体" w:cs="黑体"/>
          <w:kern w:val="0"/>
          <w:sz w:val="32"/>
          <w:szCs w:val="32"/>
          <w:lang w:eastAsia="zh-CN"/>
        </w:rPr>
        <w:t>八、</w:t>
      </w:r>
      <w:r>
        <w:rPr>
          <w:rFonts w:hint="eastAsia" w:ascii="黑体" w:hAnsi="黑体" w:eastAsia="黑体" w:cs="黑体"/>
          <w:kern w:val="0"/>
          <w:sz w:val="32"/>
          <w:szCs w:val="32"/>
        </w:rPr>
        <w:t>预算绩效管理工作开展情况。</w:t>
      </w:r>
    </w:p>
    <w:p w14:paraId="5431BDE8">
      <w:pPr>
        <w:keepNext w:val="0"/>
        <w:keepLines w:val="0"/>
        <w:pageBreakBefore w:val="0"/>
        <w:widowControl w:val="0"/>
        <w:suppressLineNumbers w:val="0"/>
        <w:suppressAutoHyphens w:val="0"/>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outlineLvl w:val="9"/>
        <w:rPr>
          <w:rFonts w:hint="eastAsia" w:ascii="楷体" w:hAnsi="楷体" w:eastAsia="楷体" w:cs="楷体"/>
          <w:b w:val="0"/>
          <w:bCs w:val="0"/>
          <w:caps w:val="0"/>
          <w:color w:val="auto"/>
          <w:kern w:val="0"/>
          <w:sz w:val="32"/>
          <w:szCs w:val="32"/>
          <w:vertAlign w:val="baseline"/>
          <w:lang w:val="en-US" w:eastAsia="zh-CN" w:bidi="ar"/>
        </w:rPr>
      </w:pPr>
      <w:r>
        <w:rPr>
          <w:rFonts w:hint="eastAsia" w:ascii="楷体" w:hAnsi="楷体" w:eastAsia="楷体" w:cs="楷体"/>
          <w:b w:val="0"/>
          <w:bCs w:val="0"/>
          <w:caps w:val="0"/>
          <w:color w:val="auto"/>
          <w:kern w:val="0"/>
          <w:sz w:val="32"/>
          <w:szCs w:val="32"/>
          <w:vertAlign w:val="baseline"/>
          <w:lang w:val="en-US" w:eastAsia="zh-CN" w:bidi="ar"/>
        </w:rPr>
        <w:t>（一）整体支出绩效自评结果。</w:t>
      </w:r>
    </w:p>
    <w:p w14:paraId="786188B6">
      <w:pPr>
        <w:keepNext w:val="0"/>
        <w:keepLines w:val="0"/>
        <w:pageBreakBefore w:val="0"/>
        <w:widowControl w:val="0"/>
        <w:suppressLineNumbers w:val="0"/>
        <w:suppressAutoHyphens w:val="0"/>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outlineLvl w:val="9"/>
        <w:rPr>
          <w:rFonts w:hint="eastAsia" w:ascii="仿宋" w:hAnsi="仿宋" w:eastAsia="仿宋" w:cs="仿宋"/>
          <w:b w:val="0"/>
          <w:bCs w:val="0"/>
          <w:caps w:val="0"/>
          <w:color w:val="auto"/>
          <w:kern w:val="0"/>
          <w:sz w:val="32"/>
          <w:szCs w:val="32"/>
          <w:vertAlign w:val="baseline"/>
          <w:lang w:val="en-US" w:eastAsia="zh-CN" w:bidi="ar"/>
        </w:rPr>
      </w:pPr>
      <w:r>
        <w:rPr>
          <w:rFonts w:hint="eastAsia" w:ascii="仿宋" w:hAnsi="仿宋" w:eastAsia="仿宋" w:cs="仿宋"/>
          <w:b w:val="0"/>
          <w:bCs w:val="0"/>
          <w:caps w:val="0"/>
          <w:color w:val="auto"/>
          <w:kern w:val="0"/>
          <w:sz w:val="32"/>
          <w:szCs w:val="32"/>
          <w:vertAlign w:val="baseline"/>
          <w:lang w:val="en-US" w:eastAsia="zh-CN" w:bidi="ar"/>
        </w:rPr>
        <w:t>我部门2025年度部门预算数205,156.94万元，执行数168,841.71万元，整体支出绩效自评结果为一等。</w:t>
      </w:r>
    </w:p>
    <w:p w14:paraId="32258463">
      <w:pPr>
        <w:keepNext w:val="0"/>
        <w:keepLines w:val="0"/>
        <w:pageBreakBefore w:val="0"/>
        <w:widowControl w:val="0"/>
        <w:suppressLineNumbers w:val="0"/>
        <w:suppressAutoHyphens w:val="0"/>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outlineLvl w:val="9"/>
        <w:rPr>
          <w:rFonts w:hint="eastAsia" w:ascii="楷体" w:hAnsi="楷体" w:eastAsia="楷体" w:cs="楷体"/>
          <w:b w:val="0"/>
          <w:bCs w:val="0"/>
          <w:caps w:val="0"/>
          <w:color w:val="auto"/>
          <w:kern w:val="0"/>
          <w:sz w:val="32"/>
          <w:szCs w:val="32"/>
          <w:vertAlign w:val="baseline"/>
          <w:lang w:val="en-US" w:eastAsia="zh-CN" w:bidi="ar"/>
        </w:rPr>
      </w:pPr>
      <w:r>
        <w:rPr>
          <w:rFonts w:hint="eastAsia" w:ascii="楷体" w:hAnsi="楷体" w:eastAsia="楷体" w:cs="楷体"/>
          <w:b w:val="0"/>
          <w:bCs w:val="0"/>
          <w:caps w:val="0"/>
          <w:color w:val="auto"/>
          <w:kern w:val="0"/>
          <w:sz w:val="32"/>
          <w:szCs w:val="32"/>
          <w:vertAlign w:val="baseline"/>
          <w:lang w:val="en-US" w:eastAsia="zh-CN" w:bidi="ar"/>
        </w:rPr>
        <w:t>（二）项目支出绩效自评结果。</w:t>
      </w:r>
    </w:p>
    <w:p w14:paraId="47BD0FEA">
      <w:pPr>
        <w:keepNext w:val="0"/>
        <w:keepLines w:val="0"/>
        <w:pageBreakBefore w:val="0"/>
        <w:widowControl w:val="0"/>
        <w:suppressLineNumbers w:val="0"/>
        <w:suppressAutoHyphens w:val="0"/>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outlineLvl w:val="9"/>
        <w:rPr>
          <w:rFonts w:hint="eastAsia" w:ascii="仿宋" w:hAnsi="仿宋" w:eastAsia="仿宋" w:cs="仿宋"/>
          <w:b w:val="0"/>
          <w:bCs w:val="0"/>
          <w:caps w:val="0"/>
          <w:color w:val="auto"/>
          <w:kern w:val="0"/>
          <w:sz w:val="32"/>
          <w:szCs w:val="32"/>
          <w:vertAlign w:val="baseline"/>
          <w:lang w:val="en-US" w:eastAsia="zh-CN" w:bidi="ar"/>
        </w:rPr>
      </w:pPr>
      <w:r>
        <w:rPr>
          <w:rFonts w:hint="eastAsia" w:ascii="仿宋" w:hAnsi="仿宋" w:eastAsia="仿宋" w:cs="仿宋"/>
          <w:b w:val="0"/>
          <w:bCs w:val="0"/>
          <w:caps w:val="0"/>
          <w:color w:val="auto"/>
          <w:kern w:val="0"/>
          <w:sz w:val="32"/>
          <w:szCs w:val="32"/>
          <w:vertAlign w:val="baseline"/>
          <w:lang w:val="en-US" w:eastAsia="zh-CN" w:bidi="ar"/>
        </w:rPr>
        <w:t>1.项目绩效自评总体情况：我部门2025年度项目33个，项目支出总额168,841.71万元。其中，本级项目33个，本级项目支出168,841.71万元；对下转移支付项目0个，对下转移支付0万元。项目中，敏感涉密项目0个，涉及资金0万元。</w:t>
      </w:r>
    </w:p>
    <w:p w14:paraId="3BAAAF10">
      <w:pPr>
        <w:keepNext w:val="0"/>
        <w:keepLines w:val="0"/>
        <w:pageBreakBefore w:val="0"/>
        <w:widowControl w:val="0"/>
        <w:suppressLineNumbers w:val="0"/>
        <w:suppressAutoHyphens w:val="0"/>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outlineLvl w:val="9"/>
        <w:rPr>
          <w:rFonts w:hint="default" w:ascii="仿宋" w:hAnsi="仿宋" w:eastAsia="仿宋" w:cs="仿宋"/>
          <w:b w:val="0"/>
          <w:bCs w:val="0"/>
          <w:caps w:val="0"/>
          <w:color w:val="auto"/>
          <w:kern w:val="0"/>
          <w:sz w:val="32"/>
          <w:szCs w:val="32"/>
          <w:vertAlign w:val="baseline"/>
          <w:lang w:val="en-US" w:eastAsia="zh-CN" w:bidi="ar"/>
        </w:rPr>
      </w:pPr>
      <w:r>
        <w:rPr>
          <w:rFonts w:hint="eastAsia" w:ascii="仿宋" w:hAnsi="仿宋" w:eastAsia="仿宋" w:cs="仿宋"/>
          <w:b w:val="0"/>
          <w:bCs w:val="0"/>
          <w:caps w:val="0"/>
          <w:color w:val="auto"/>
          <w:kern w:val="0"/>
          <w:sz w:val="32"/>
          <w:szCs w:val="32"/>
          <w:vertAlign w:val="baseline"/>
          <w:lang w:val="en-US" w:eastAsia="zh-CN" w:bidi="ar"/>
        </w:rPr>
        <w:t>所有项目均开展了绩效自评，其中非敏感涉密项目绩效自评结果为：26个项目评为一等，涉及资金158,781.10万元，占项目总数比例78.79%，占项目支出总额比例94.04%。自评发现的主要问题及原因：一是部分项目负责人资金使用计划性不强，预算支出进度考核意识淡薄，导致未能按照一般公共预算支出“综合进度”的考核目标要求及时进行资金支付；二是物资采购事项需按照规定进行招标采购，涉及采购进口医疗专用设备还需进行论证，采购流程繁杂，耗时较长；部分招标采购项目会存在招标流标的现象，导致采购进度受影响；三是根据实施方案要求，部分项目需要分阶段下基层推广或外出培训学习，根据临床工作及教学任务实施计划，部分项目的实施大多安排在下半年，导致上半年项目支出进度缓慢；四是部分归口管理部门未设专职人员负责财政资金对接工作，未能按时在指定日期前对各项目资金支出及执行进度情况与财务部进行对账。无法及时了解到归口项目资金使用情况，因此未能及时督促项目负责人使用资金。下一步改进措施：一是严把预算源头管理，提升预算可执行性。强化预算精准编制，将资金任务分解到归口管理部门、到项目负责人、到具体经办人。做到预算科学，贴合实际、便于落地执行。从源头减少资金执行缓慢等问题。同时还需加强预算支出进度考核意识，严格按照一般公共预算支出“综合进度”的考核目标要求使用资金，统筹协调好项目工作计划与预算支出进度考核的关系；二是压实层级责任，建立常态化监督机制。建立院领导牵头、职能部门主管、业务科室主抓的责任体系，将财政资金执行进度纳入绩效考核。对支出滞后的项目进行责任约谈，层层压实执行责任；三是强化部门联动，打通项目推进堵点。建立各归口管理部门、各采购部门、财务部、审计科、招标办等部门联动机制，提前介入项目实施全过程。针对采购周期长、验收滞后、资料不全、报账不及时等突出问题，逐项协同破解，保障项目稳步推进，资金有序支出。四是强化动态监管，盘活存量资金。建立财政资金执行动态台账，实时监控资金使用情况及存在问题，按规定及时盘活、调剂使用进度缓慢的资金，切实提高财政资金使用效益。同时严守财经纪律，确保资金提速、合规、安全。</w:t>
      </w:r>
    </w:p>
    <w:p w14:paraId="265046EE">
      <w:pPr>
        <w:keepNext w:val="0"/>
        <w:keepLines w:val="0"/>
        <w:pageBreakBefore w:val="0"/>
        <w:widowControl w:val="0"/>
        <w:numPr>
          <w:ilvl w:val="0"/>
          <w:numId w:val="0"/>
        </w:numPr>
        <w:suppressLineNumbers w:val="0"/>
        <w:suppressAutoHyphens w:val="0"/>
        <w:kinsoku/>
        <w:wordWrap/>
        <w:overflowPunct/>
        <w:topLinePunct w:val="0"/>
        <w:autoSpaceDE w:val="0"/>
        <w:autoSpaceDN w:val="0"/>
        <w:bidi w:val="0"/>
        <w:adjustRightInd w:val="0"/>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仿宋"/>
          <w:b w:val="0"/>
          <w:bCs w:val="0"/>
          <w:caps w:val="0"/>
          <w:color w:val="auto"/>
          <w:kern w:val="0"/>
          <w:sz w:val="32"/>
          <w:szCs w:val="32"/>
          <w:vertAlign w:val="baseline"/>
          <w:lang w:val="en-US" w:eastAsia="zh-CN" w:bidi="ar"/>
        </w:rPr>
      </w:pPr>
      <w:r>
        <w:rPr>
          <w:rFonts w:hint="eastAsia" w:ascii="仿宋" w:hAnsi="仿宋" w:eastAsia="仿宋" w:cs="仿宋"/>
          <w:b w:val="0"/>
          <w:bCs w:val="0"/>
          <w:caps w:val="0"/>
          <w:color w:val="auto"/>
          <w:kern w:val="0"/>
          <w:sz w:val="32"/>
          <w:szCs w:val="32"/>
          <w:vertAlign w:val="baseline"/>
          <w:lang w:val="en-US" w:eastAsia="zh-CN" w:bidi="ar"/>
        </w:rPr>
        <w:t>2.部分重点项目绩效自评情况（至少选择一个重点项目做具体说明）：根据年初设定的绩效目标，2025年中央财政医疗服务与保障能力提升（住院医师规范化培训)项目自评得分为100分，自评结果为一等，项目全年预算数为726万元，执行数为726万元，完成预算的100%。项目绩效目标完成情况：一是培养2022级规培学员108人、2023级规培学员81名、2024级规培学员80人，拟招录2025级规培学员80名；二是在2025年12月31日前完成经费补助发放工作，按时按量全部用于住院医师规范化培训项目，主要用于培训对象工资、绩效、教师课酬、带教老师带教费、责任导师津贴、各类教学活动竞赛奖金等，共726万。通过评价通过工作有利于提升基地建设及师资学员教学水平，规范管理在我院的规培医师，培养完成的学员按国家多种需求就业，提升地区医疗卫生水平。</w:t>
      </w:r>
    </w:p>
    <w:p w14:paraId="1D80E7C1">
      <w:pPr>
        <w:keepNext w:val="0"/>
        <w:keepLines w:val="0"/>
        <w:pageBreakBefore w:val="0"/>
        <w:widowControl w:val="0"/>
        <w:numPr>
          <w:ilvl w:val="0"/>
          <w:numId w:val="0"/>
        </w:numPr>
        <w:suppressLineNumbers w:val="0"/>
        <w:suppressAutoHyphens w:val="0"/>
        <w:kinsoku/>
        <w:wordWrap/>
        <w:overflowPunct/>
        <w:topLinePunct w:val="0"/>
        <w:autoSpaceDE w:val="0"/>
        <w:autoSpaceDN w:val="0"/>
        <w:bidi w:val="0"/>
        <w:adjustRightInd w:val="0"/>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仿宋"/>
          <w:caps w:val="0"/>
          <w:color w:val="auto"/>
          <w:kern w:val="0"/>
          <w:sz w:val="32"/>
          <w:szCs w:val="32"/>
          <w:highlight w:val="none"/>
          <w:vertAlign w:val="baseline"/>
          <w:lang w:bidi="ar"/>
        </w:rPr>
      </w:pPr>
      <w:r>
        <w:rPr>
          <w:rFonts w:hint="eastAsia" w:ascii="仿宋" w:hAnsi="仿宋" w:eastAsia="仿宋" w:cs="仿宋"/>
          <w:b w:val="0"/>
          <w:bCs w:val="0"/>
          <w:caps w:val="0"/>
          <w:color w:val="auto"/>
          <w:kern w:val="0"/>
          <w:sz w:val="32"/>
          <w:szCs w:val="32"/>
          <w:highlight w:val="none"/>
          <w:vertAlign w:val="baseline"/>
          <w:lang w:val="en-US" w:eastAsia="zh-CN" w:bidi="ar"/>
        </w:rPr>
        <w:t>（说明：八、预算绩效管理工作开展情况，资金统计口径均为财政资金。）</w:t>
      </w:r>
    </w:p>
    <w:p w14:paraId="22DC640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s="仿宋_GB2312"/>
          <w:kern w:val="0"/>
          <w:sz w:val="32"/>
          <w:szCs w:val="32"/>
        </w:rPr>
      </w:pPr>
    </w:p>
    <w:p w14:paraId="463D5D9C">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仿宋_GB2312" w:eastAsia="仿宋_GB2312" w:cs="仿宋_GB2312"/>
          <w:b/>
          <w:kern w:val="0"/>
          <w:sz w:val="32"/>
          <w:szCs w:val="32"/>
        </w:rPr>
      </w:pPr>
    </w:p>
    <w:p w14:paraId="27A54BDC">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仿宋_GB2312" w:eastAsia="仿宋_GB2312" w:cs="仿宋_GB2312"/>
          <w:b/>
          <w:kern w:val="0"/>
          <w:sz w:val="32"/>
          <w:szCs w:val="32"/>
        </w:rPr>
      </w:pPr>
    </w:p>
    <w:p w14:paraId="2E5FA2E4">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仿宋_GB2312" w:eastAsia="仿宋_GB2312" w:cs="仿宋_GB2312"/>
          <w:b/>
          <w:kern w:val="0"/>
          <w:sz w:val="32"/>
          <w:szCs w:val="32"/>
        </w:rPr>
      </w:pPr>
    </w:p>
    <w:p w14:paraId="06E916BC">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eastAsia="仿宋_GB2312" w:cs="仿宋_GB2312"/>
          <w:b/>
          <w:kern w:val="0"/>
          <w:sz w:val="32"/>
          <w:szCs w:val="32"/>
        </w:rPr>
      </w:pPr>
    </w:p>
    <w:p w14:paraId="75AAECB7">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eastAsia="仿宋_GB2312" w:cs="仿宋_GB2312"/>
          <w:b/>
          <w:kern w:val="0"/>
          <w:sz w:val="32"/>
          <w:szCs w:val="32"/>
        </w:rPr>
      </w:pPr>
    </w:p>
    <w:p w14:paraId="4E154415">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黑体" w:hAnsi="黑体" w:eastAsia="黑体" w:cs="仿宋_GB2312"/>
          <w:kern w:val="0"/>
          <w:sz w:val="32"/>
          <w:szCs w:val="32"/>
        </w:rPr>
      </w:pPr>
      <w:r>
        <w:rPr>
          <w:rFonts w:hint="eastAsia" w:ascii="黑体" w:hAnsi="黑体" w:eastAsia="黑体" w:cs="仿宋_GB2312"/>
          <w:kern w:val="0"/>
          <w:sz w:val="32"/>
          <w:szCs w:val="32"/>
        </w:rPr>
        <w:br w:type="page"/>
      </w:r>
      <w:r>
        <w:rPr>
          <w:rFonts w:hint="eastAsia" w:ascii="黑体" w:hAnsi="黑体" w:eastAsia="黑体" w:cs="仿宋_GB2312"/>
          <w:kern w:val="0"/>
          <w:sz w:val="32"/>
          <w:szCs w:val="32"/>
        </w:rPr>
        <w:t>第四部分  名词解释</w:t>
      </w:r>
    </w:p>
    <w:p w14:paraId="7973448B">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eastAsia="仿宋_GB2312"/>
          <w:sz w:val="32"/>
          <w:szCs w:val="32"/>
        </w:rPr>
      </w:pPr>
    </w:p>
    <w:p w14:paraId="10DD2AAE">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eastAsia="仿宋_GB2312"/>
          <w:sz w:val="32"/>
          <w:szCs w:val="32"/>
        </w:rPr>
      </w:pPr>
      <w:r>
        <w:rPr>
          <w:rFonts w:hint="eastAsia" w:ascii="仿宋_GB2312" w:eastAsia="仿宋_GB2312"/>
          <w:sz w:val="32"/>
          <w:szCs w:val="32"/>
        </w:rPr>
        <w:t xml:space="preserve">一、财政拨款收入：指自治区财政部门当年拨付的资金。 </w:t>
      </w:r>
    </w:p>
    <w:p w14:paraId="098CCBFA">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4106AAD5">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6369D30D">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06FC983F">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五、使用非财政拨款结余</w:t>
      </w:r>
      <w:r>
        <w:rPr>
          <w:rFonts w:hint="eastAsia" w:ascii="仿宋_GB2312" w:eastAsia="仿宋_GB2312"/>
          <w:sz w:val="32"/>
          <w:szCs w:val="32"/>
          <w:lang w:eastAsia="zh-CN"/>
        </w:rPr>
        <w:t>（含专用结余）</w:t>
      </w:r>
      <w:r>
        <w:rPr>
          <w:rFonts w:hint="eastAsia" w:ascii="仿宋_GB2312" w:eastAsia="仿宋_GB2312"/>
          <w:sz w:val="32"/>
          <w:szCs w:val="32"/>
        </w:rPr>
        <w:t xml:space="preserve">：指事业单位在当年的“财政拨款收入”“事业收入”“经营收入”“其他收入”不足以安排当年支出的情况下，使用非财政拨款结余、专用结余弥补本年度收支缺口的资金。 </w:t>
      </w:r>
    </w:p>
    <w:p w14:paraId="387437CC">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六、年初结转和结余：指以前年度尚未完成、结转到本年 按有关规定继续使用的资金。 </w:t>
      </w:r>
    </w:p>
    <w:p w14:paraId="624BD9B6">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七、结余分配：指事业单位按规定提取的职工福利基金、事业基金和缴纳的所得税，以及建设单位按规定应交回的基本建设竣工项目结余资金。 </w:t>
      </w:r>
    </w:p>
    <w:p w14:paraId="7F34AB64">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八、年末结转和结余：指本年度或以前年度预算安排、因客观条件发生变化无法按原计划实施，需要延迟到以后年度按有关规定继续使用的资金。 </w:t>
      </w:r>
    </w:p>
    <w:p w14:paraId="21577037">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九、基本支出：指为保障机构正常运转、完成日常工作任务而发生的人员支出和公用支出。 </w:t>
      </w:r>
    </w:p>
    <w:p w14:paraId="46BA56DB">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十、项目支出：指在基本支出之外为完成特定行政任务和事业发展目标所发生的支出。 </w:t>
      </w:r>
    </w:p>
    <w:p w14:paraId="4005EECE">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06712D72">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十二、“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27C88D00">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55FE640">
      <w:pPr>
        <w:ind w:firstLine="640" w:firstLineChars="200"/>
        <w:rPr>
          <w:rFonts w:hint="eastAsia" w:ascii="仿宋_GB2312" w:hAnsi="Times New Roman" w:eastAsia="仿宋_GB2312" w:cs="Times New Roman"/>
          <w:sz w:val="32"/>
          <w:szCs w:val="32"/>
        </w:rPr>
      </w:pPr>
    </w:p>
    <w:p w14:paraId="4901CA7C">
      <w:p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附件：</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自治区卫生健康委关于202</w:t>
      </w:r>
      <w:r>
        <w:rPr>
          <w:rFonts w:hint="eastAsia" w:ascii="仿宋_GB2312" w:eastAsia="仿宋_GB2312" w:cs="Times New Roman"/>
          <w:sz w:val="32"/>
          <w:szCs w:val="32"/>
          <w:lang w:val="en-US" w:eastAsia="zh-CN"/>
        </w:rPr>
        <w:t>5</w:t>
      </w:r>
      <w:r>
        <w:rPr>
          <w:rFonts w:hint="eastAsia" w:ascii="仿宋_GB2312" w:hAnsi="Times New Roman" w:eastAsia="仿宋_GB2312" w:cs="Times New Roman"/>
          <w:sz w:val="32"/>
          <w:szCs w:val="32"/>
        </w:rPr>
        <w:t>年度部门决算的批复</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.pdf</w:t>
      </w:r>
    </w:p>
    <w:p w14:paraId="24FCE899">
      <w:pPr>
        <w:ind w:firstLine="1920" w:firstLineChars="6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广西中医药大学</w:t>
      </w:r>
      <w:r>
        <w:rPr>
          <w:rFonts w:hint="eastAsia" w:ascii="仿宋_GB2312" w:eastAsia="仿宋_GB2312" w:cs="Times New Roman"/>
          <w:sz w:val="32"/>
          <w:szCs w:val="32"/>
          <w:lang w:val="en-US" w:eastAsia="zh-CN"/>
        </w:rPr>
        <w:t>第二附属医院</w:t>
      </w:r>
      <w:r>
        <w:rPr>
          <w:rFonts w:hint="eastAsia" w:ascii="仿宋_GB2312" w:hAnsi="Times New Roman" w:eastAsia="仿宋_GB2312" w:cs="Times New Roman"/>
          <w:sz w:val="32"/>
          <w:szCs w:val="32"/>
        </w:rPr>
        <w:t>202</w:t>
      </w:r>
      <w:r>
        <w:rPr>
          <w:rFonts w:hint="eastAsia" w:ascii="仿宋_GB2312" w:eastAsia="仿宋_GB2312" w:cs="Times New Roman"/>
          <w:sz w:val="32"/>
          <w:szCs w:val="32"/>
          <w:lang w:val="en-US" w:eastAsia="zh-CN"/>
        </w:rPr>
        <w:t>5</w:t>
      </w:r>
      <w:r>
        <w:rPr>
          <w:rFonts w:hint="eastAsia" w:ascii="仿宋_GB2312" w:hAnsi="Times New Roman" w:eastAsia="仿宋_GB2312" w:cs="Times New Roman"/>
          <w:sz w:val="32"/>
          <w:szCs w:val="32"/>
        </w:rPr>
        <w:t>年度部门决算公开附表.xls</w:t>
      </w:r>
    </w:p>
    <w:p w14:paraId="298FC0AA">
      <w:pPr>
        <w:spacing w:line="240" w:lineRule="auto"/>
        <w:ind w:firstLine="1920" w:firstLineChars="600"/>
        <w:rPr>
          <w:rFonts w:hint="eastAsia" w:ascii="黑体" w:hAnsi="黑体" w:eastAsia="黑体" w:cs="仿宋_GB2312"/>
          <w:kern w:val="0"/>
          <w:sz w:val="32"/>
          <w:szCs w:val="32"/>
        </w:rPr>
      </w:pPr>
      <w:r>
        <w:rPr>
          <w:rFonts w:hint="eastAsia" w:ascii="仿宋_GB2312" w:hAnsi="Times New Roman" w:eastAsia="仿宋_GB2312" w:cs="Times New Roman"/>
          <w:sz w:val="32"/>
          <w:szCs w:val="32"/>
        </w:rPr>
        <w:t>广西中医药大学第二附属医院自治区本级202</w:t>
      </w:r>
      <w:r>
        <w:rPr>
          <w:rFonts w:hint="eastAsia" w:ascii="仿宋_GB2312" w:eastAsia="仿宋_GB2312" w:cs="Times New Roman"/>
          <w:sz w:val="32"/>
          <w:szCs w:val="32"/>
          <w:lang w:val="en-US" w:eastAsia="zh-CN"/>
        </w:rPr>
        <w:t>5</w:t>
      </w:r>
      <w:r>
        <w:rPr>
          <w:rFonts w:hint="eastAsia" w:ascii="仿宋_GB2312" w:hAnsi="Times New Roman" w:eastAsia="仿宋_GB2312" w:cs="Times New Roman"/>
          <w:sz w:val="32"/>
          <w:szCs w:val="32"/>
        </w:rPr>
        <w:t>年度部门决算公开文本.doc</w:t>
      </w:r>
    </w:p>
    <w:sectPr>
      <w:pgSz w:w="11906" w:h="16838"/>
      <w:pgMar w:top="1701" w:right="1474" w:bottom="1247" w:left="1587" w:header="851" w:footer="992"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F362B2-0DFA-4551-988F-6F3D75E582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UnicodeMS">
    <w:altName w:val="方正小标宋简体"/>
    <w:panose1 w:val="00000000000000000000"/>
    <w:charset w:val="00"/>
    <w:family w:val="auto"/>
    <w:pitch w:val="default"/>
    <w:sig w:usb0="00000000" w:usb1="00000000" w:usb2="00000010" w:usb3="00000000" w:csb0="00040000" w:csb1="00000000"/>
    <w:embedRegular r:id="rId2" w:fontKey="{3C3DB996-643E-461E-851C-37148612EF33}"/>
  </w:font>
  <w:font w:name="方正小标宋简体">
    <w:panose1 w:val="02000000000000000000"/>
    <w:charset w:val="86"/>
    <w:family w:val="auto"/>
    <w:pitch w:val="default"/>
    <w:sig w:usb0="00000001" w:usb1="08000000" w:usb2="00000000" w:usb3="00000000" w:csb0="00040000" w:csb1="00000000"/>
    <w:embedRegular r:id="rId3" w:fontKey="{D9A838ED-DC7E-4F27-90B2-03C1ED079C93}"/>
  </w:font>
  <w:font w:name="仿宋_GB2312">
    <w:panose1 w:val="02010609030101010101"/>
    <w:charset w:val="86"/>
    <w:family w:val="auto"/>
    <w:pitch w:val="default"/>
    <w:sig w:usb0="00000001" w:usb1="080E0000" w:usb2="00000000" w:usb3="00000000" w:csb0="00040000" w:csb1="00000000"/>
    <w:embedRegular r:id="rId4" w:fontKey="{0DD3EFDD-06B5-4232-9A3B-7C74D5AFC3D0}"/>
  </w:font>
  <w:font w:name="仿宋">
    <w:panose1 w:val="02010609060101010101"/>
    <w:charset w:val="86"/>
    <w:family w:val="auto"/>
    <w:pitch w:val="default"/>
    <w:sig w:usb0="800002BF" w:usb1="38CF7CFA" w:usb2="00000016" w:usb3="00000000" w:csb0="00040001" w:csb1="00000000"/>
    <w:embedRegular r:id="rId5" w:fontKey="{F09C81D5-98C5-4BC3-92BE-5DFFEBC29569}"/>
  </w:font>
  <w:font w:name="楷体">
    <w:panose1 w:val="02010609060101010101"/>
    <w:charset w:val="86"/>
    <w:family w:val="auto"/>
    <w:pitch w:val="default"/>
    <w:sig w:usb0="800002BF" w:usb1="38CF7CFA" w:usb2="00000016" w:usb3="00000000" w:csb0="00040001" w:csb1="00000000"/>
    <w:embedRegular r:id="rId6" w:fontKey="{B2F8CCD0-F093-45B9-A47B-BBFCF80C8DE0}"/>
  </w:font>
  <w:font w:name="楷体_GB2312">
    <w:altName w:val="楷体"/>
    <w:panose1 w:val="02010609030101010101"/>
    <w:charset w:val="00"/>
    <w:family w:val="auto"/>
    <w:pitch w:val="default"/>
    <w:sig w:usb0="00000000" w:usb1="00000000" w:usb2="00000000" w:usb3="00000000" w:csb0="00040000" w:csb1="00000000"/>
    <w:embedRegular r:id="rId7" w:fontKey="{A0169E26-7FAE-4754-8D3F-615B8F99D825}"/>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FE148">
    <w:pPr>
      <w:pStyle w:val="3"/>
      <w:ind w:right="2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1D21BE2">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ql5uc8AAAAF&#10;AQAADwAAAAAAAAABACAAAAAiAAAAZHJzL2Rvd25yZXYueG1sUEsBAhQAFAAAAAgAh07iQPBAlRrs&#10;AQAA1QMAAA4AAAAAAAAAAQAgAAAAHgEAAGRycy9lMm9Eb2MueG1sUEsFBgAAAAAGAAYAWQEAAHwF&#10;AAAAAA==&#10;">
              <v:fill on="f" focussize="0,0"/>
              <v:stroke on="f"/>
              <v:imagedata o:title=""/>
              <o:lock v:ext="edit" aspectratio="f"/>
              <v:textbox inset="0mm,0mm,0mm,0mm" style="mso-fit-shape-to-text:t;">
                <w:txbxContent>
                  <w:p w14:paraId="61D21BE2">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938C6">
    <w:pPr>
      <w:pStyle w:val="3"/>
      <w:ind w:firstLine="270" w:firstLineChars="15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6C58B3F">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ql5uc8AAAAF&#10;AQAADwAAAAAAAAABACAAAAAiAAAAZHJzL2Rvd25yZXYueG1sUEsBAhQAFAAAAAgAh07iQCBEH87s&#10;AQAA1QMAAA4AAAAAAAAAAQAgAAAAHgEAAGRycy9lMm9Eb2MueG1sUEsFBgAAAAAGAAYAWQEAAHwF&#10;AAAAAA==&#10;">
              <v:fill on="f" focussize="0,0"/>
              <v:stroke on="f"/>
              <v:imagedata o:title=""/>
              <o:lock v:ext="edit" aspectratio="f"/>
              <v:textbox inset="0mm,0mm,0mm,0mm" style="mso-fit-shape-to-text:t;">
                <w:txbxContent>
                  <w:p w14:paraId="06C58B3F">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4OWJhNzk4ZGE3MDVjMTA1MmQ3MDU2MjI1N2JmNWYifQ=="/>
  </w:docVars>
  <w:rsids>
    <w:rsidRoot w:val="0044603A"/>
    <w:rsid w:val="00000C19"/>
    <w:rsid w:val="000025D7"/>
    <w:rsid w:val="000029C9"/>
    <w:rsid w:val="00011970"/>
    <w:rsid w:val="00012A72"/>
    <w:rsid w:val="000132BE"/>
    <w:rsid w:val="0001353E"/>
    <w:rsid w:val="00014B7F"/>
    <w:rsid w:val="000157A9"/>
    <w:rsid w:val="00017F54"/>
    <w:rsid w:val="000206F8"/>
    <w:rsid w:val="0002142A"/>
    <w:rsid w:val="000222ED"/>
    <w:rsid w:val="000275C8"/>
    <w:rsid w:val="00030D95"/>
    <w:rsid w:val="00032D5F"/>
    <w:rsid w:val="000373C3"/>
    <w:rsid w:val="0004145E"/>
    <w:rsid w:val="000441F7"/>
    <w:rsid w:val="00046498"/>
    <w:rsid w:val="0004689D"/>
    <w:rsid w:val="00050F20"/>
    <w:rsid w:val="000534BF"/>
    <w:rsid w:val="00053DFF"/>
    <w:rsid w:val="000624C1"/>
    <w:rsid w:val="00062651"/>
    <w:rsid w:val="00075941"/>
    <w:rsid w:val="000772EB"/>
    <w:rsid w:val="0008469B"/>
    <w:rsid w:val="00084D65"/>
    <w:rsid w:val="00084D7B"/>
    <w:rsid w:val="000855C8"/>
    <w:rsid w:val="00086800"/>
    <w:rsid w:val="00087056"/>
    <w:rsid w:val="00090B5D"/>
    <w:rsid w:val="000910E5"/>
    <w:rsid w:val="0009172A"/>
    <w:rsid w:val="00091768"/>
    <w:rsid w:val="00094416"/>
    <w:rsid w:val="00094BD1"/>
    <w:rsid w:val="0009684C"/>
    <w:rsid w:val="00096F23"/>
    <w:rsid w:val="0009722B"/>
    <w:rsid w:val="000A2AB8"/>
    <w:rsid w:val="000A6054"/>
    <w:rsid w:val="000A6C6F"/>
    <w:rsid w:val="000B28CB"/>
    <w:rsid w:val="000B3150"/>
    <w:rsid w:val="000B4991"/>
    <w:rsid w:val="000B50F0"/>
    <w:rsid w:val="000B6ADF"/>
    <w:rsid w:val="000C0E3B"/>
    <w:rsid w:val="000C5BEC"/>
    <w:rsid w:val="000C63B9"/>
    <w:rsid w:val="000C6D5F"/>
    <w:rsid w:val="000C6FCB"/>
    <w:rsid w:val="000D23D3"/>
    <w:rsid w:val="000D2E1E"/>
    <w:rsid w:val="000D3F04"/>
    <w:rsid w:val="000D4FEF"/>
    <w:rsid w:val="000D59C5"/>
    <w:rsid w:val="000E0EF2"/>
    <w:rsid w:val="000E46F0"/>
    <w:rsid w:val="000F1C31"/>
    <w:rsid w:val="000F2407"/>
    <w:rsid w:val="000F2C94"/>
    <w:rsid w:val="000F6708"/>
    <w:rsid w:val="000F7869"/>
    <w:rsid w:val="0010068C"/>
    <w:rsid w:val="00100FAF"/>
    <w:rsid w:val="00102D27"/>
    <w:rsid w:val="00103347"/>
    <w:rsid w:val="0010639B"/>
    <w:rsid w:val="00107921"/>
    <w:rsid w:val="001112C5"/>
    <w:rsid w:val="00112FD8"/>
    <w:rsid w:val="001142CD"/>
    <w:rsid w:val="0011491B"/>
    <w:rsid w:val="00116EA1"/>
    <w:rsid w:val="00122319"/>
    <w:rsid w:val="00123033"/>
    <w:rsid w:val="00124337"/>
    <w:rsid w:val="00124374"/>
    <w:rsid w:val="00124696"/>
    <w:rsid w:val="00127C35"/>
    <w:rsid w:val="00131E61"/>
    <w:rsid w:val="00134300"/>
    <w:rsid w:val="0014054D"/>
    <w:rsid w:val="00140B11"/>
    <w:rsid w:val="00143E79"/>
    <w:rsid w:val="001452D0"/>
    <w:rsid w:val="00146528"/>
    <w:rsid w:val="00146943"/>
    <w:rsid w:val="00146A23"/>
    <w:rsid w:val="00152434"/>
    <w:rsid w:val="00154352"/>
    <w:rsid w:val="00154359"/>
    <w:rsid w:val="00155313"/>
    <w:rsid w:val="00160A4D"/>
    <w:rsid w:val="00170279"/>
    <w:rsid w:val="001718C7"/>
    <w:rsid w:val="0017498B"/>
    <w:rsid w:val="001847E1"/>
    <w:rsid w:val="00184C71"/>
    <w:rsid w:val="00184D07"/>
    <w:rsid w:val="00185888"/>
    <w:rsid w:val="00186585"/>
    <w:rsid w:val="001865E7"/>
    <w:rsid w:val="0018764F"/>
    <w:rsid w:val="00191280"/>
    <w:rsid w:val="00194E59"/>
    <w:rsid w:val="00196A9B"/>
    <w:rsid w:val="001A0C25"/>
    <w:rsid w:val="001A1448"/>
    <w:rsid w:val="001A6FD4"/>
    <w:rsid w:val="001A7D11"/>
    <w:rsid w:val="001B0307"/>
    <w:rsid w:val="001B166A"/>
    <w:rsid w:val="001B4B53"/>
    <w:rsid w:val="001B5D25"/>
    <w:rsid w:val="001C104A"/>
    <w:rsid w:val="001D0189"/>
    <w:rsid w:val="001D3D99"/>
    <w:rsid w:val="001D676E"/>
    <w:rsid w:val="001D6B9B"/>
    <w:rsid w:val="001E1E8E"/>
    <w:rsid w:val="001E263B"/>
    <w:rsid w:val="001E5C0E"/>
    <w:rsid w:val="001F5DC2"/>
    <w:rsid w:val="002018A2"/>
    <w:rsid w:val="0020576C"/>
    <w:rsid w:val="00207EAA"/>
    <w:rsid w:val="002109FE"/>
    <w:rsid w:val="00215D56"/>
    <w:rsid w:val="002160E7"/>
    <w:rsid w:val="002208D1"/>
    <w:rsid w:val="00220F16"/>
    <w:rsid w:val="00221229"/>
    <w:rsid w:val="00222800"/>
    <w:rsid w:val="00224936"/>
    <w:rsid w:val="00226542"/>
    <w:rsid w:val="00232489"/>
    <w:rsid w:val="00237501"/>
    <w:rsid w:val="00237B04"/>
    <w:rsid w:val="00237B7A"/>
    <w:rsid w:val="00240535"/>
    <w:rsid w:val="00240953"/>
    <w:rsid w:val="002416AE"/>
    <w:rsid w:val="00241DEE"/>
    <w:rsid w:val="0024429E"/>
    <w:rsid w:val="00246C1D"/>
    <w:rsid w:val="00250261"/>
    <w:rsid w:val="002504E7"/>
    <w:rsid w:val="002514D7"/>
    <w:rsid w:val="0025158F"/>
    <w:rsid w:val="00251F64"/>
    <w:rsid w:val="00251FA3"/>
    <w:rsid w:val="00253683"/>
    <w:rsid w:val="0025461A"/>
    <w:rsid w:val="002603EE"/>
    <w:rsid w:val="0026094C"/>
    <w:rsid w:val="00260D24"/>
    <w:rsid w:val="002633F3"/>
    <w:rsid w:val="00266617"/>
    <w:rsid w:val="002675C3"/>
    <w:rsid w:val="00267C5B"/>
    <w:rsid w:val="00267CC9"/>
    <w:rsid w:val="00274E01"/>
    <w:rsid w:val="002752E2"/>
    <w:rsid w:val="002803AA"/>
    <w:rsid w:val="002804E0"/>
    <w:rsid w:val="00291736"/>
    <w:rsid w:val="002954D5"/>
    <w:rsid w:val="002A02D0"/>
    <w:rsid w:val="002A368F"/>
    <w:rsid w:val="002A3928"/>
    <w:rsid w:val="002A3E37"/>
    <w:rsid w:val="002A555C"/>
    <w:rsid w:val="002A6A9A"/>
    <w:rsid w:val="002B1412"/>
    <w:rsid w:val="002B2E03"/>
    <w:rsid w:val="002B6EA5"/>
    <w:rsid w:val="002C0E9F"/>
    <w:rsid w:val="002C281F"/>
    <w:rsid w:val="002C5A6A"/>
    <w:rsid w:val="002D4A30"/>
    <w:rsid w:val="002E03AA"/>
    <w:rsid w:val="002E3BED"/>
    <w:rsid w:val="002E7A82"/>
    <w:rsid w:val="002F3061"/>
    <w:rsid w:val="002F3CF8"/>
    <w:rsid w:val="002F497A"/>
    <w:rsid w:val="002F7B1D"/>
    <w:rsid w:val="00300BB4"/>
    <w:rsid w:val="00300FD9"/>
    <w:rsid w:val="00301C94"/>
    <w:rsid w:val="00306668"/>
    <w:rsid w:val="003103DF"/>
    <w:rsid w:val="00311100"/>
    <w:rsid w:val="00311ABD"/>
    <w:rsid w:val="003122D0"/>
    <w:rsid w:val="003127B5"/>
    <w:rsid w:val="003130DD"/>
    <w:rsid w:val="0031372E"/>
    <w:rsid w:val="00315574"/>
    <w:rsid w:val="00320B55"/>
    <w:rsid w:val="003232EB"/>
    <w:rsid w:val="00323399"/>
    <w:rsid w:val="0032366E"/>
    <w:rsid w:val="00323731"/>
    <w:rsid w:val="00326265"/>
    <w:rsid w:val="00332392"/>
    <w:rsid w:val="0033707D"/>
    <w:rsid w:val="00337891"/>
    <w:rsid w:val="00341BFA"/>
    <w:rsid w:val="0034272A"/>
    <w:rsid w:val="003447DA"/>
    <w:rsid w:val="0034512A"/>
    <w:rsid w:val="00346FB4"/>
    <w:rsid w:val="003557F0"/>
    <w:rsid w:val="0036023B"/>
    <w:rsid w:val="00360F0D"/>
    <w:rsid w:val="00361A06"/>
    <w:rsid w:val="00362E12"/>
    <w:rsid w:val="00363267"/>
    <w:rsid w:val="0036427C"/>
    <w:rsid w:val="00364511"/>
    <w:rsid w:val="00365C50"/>
    <w:rsid w:val="00367236"/>
    <w:rsid w:val="00370055"/>
    <w:rsid w:val="003706FD"/>
    <w:rsid w:val="00370E78"/>
    <w:rsid w:val="00370F52"/>
    <w:rsid w:val="003720EC"/>
    <w:rsid w:val="0037296A"/>
    <w:rsid w:val="00372DDA"/>
    <w:rsid w:val="00373228"/>
    <w:rsid w:val="003733D5"/>
    <w:rsid w:val="00375904"/>
    <w:rsid w:val="00376419"/>
    <w:rsid w:val="0037657B"/>
    <w:rsid w:val="003813FB"/>
    <w:rsid w:val="00381DD6"/>
    <w:rsid w:val="003851D3"/>
    <w:rsid w:val="00386927"/>
    <w:rsid w:val="00390E35"/>
    <w:rsid w:val="0039174F"/>
    <w:rsid w:val="003925EC"/>
    <w:rsid w:val="003925FB"/>
    <w:rsid w:val="003929E5"/>
    <w:rsid w:val="00395A70"/>
    <w:rsid w:val="00396BF6"/>
    <w:rsid w:val="00397445"/>
    <w:rsid w:val="003A03A2"/>
    <w:rsid w:val="003A04DC"/>
    <w:rsid w:val="003A08D0"/>
    <w:rsid w:val="003A12A9"/>
    <w:rsid w:val="003A2C6C"/>
    <w:rsid w:val="003A447D"/>
    <w:rsid w:val="003A637E"/>
    <w:rsid w:val="003A6BD2"/>
    <w:rsid w:val="003A7E38"/>
    <w:rsid w:val="003B00AF"/>
    <w:rsid w:val="003B0F5F"/>
    <w:rsid w:val="003B3F82"/>
    <w:rsid w:val="003B45F8"/>
    <w:rsid w:val="003B5F91"/>
    <w:rsid w:val="003C26AA"/>
    <w:rsid w:val="003C291D"/>
    <w:rsid w:val="003C48C5"/>
    <w:rsid w:val="003C66E5"/>
    <w:rsid w:val="003D1E99"/>
    <w:rsid w:val="003D3A37"/>
    <w:rsid w:val="003D3CAA"/>
    <w:rsid w:val="003D4E96"/>
    <w:rsid w:val="003D527F"/>
    <w:rsid w:val="003D6F8F"/>
    <w:rsid w:val="003E183B"/>
    <w:rsid w:val="003E2626"/>
    <w:rsid w:val="003E39C8"/>
    <w:rsid w:val="003E39E1"/>
    <w:rsid w:val="003E4405"/>
    <w:rsid w:val="003E46F0"/>
    <w:rsid w:val="003E50BC"/>
    <w:rsid w:val="003E50FC"/>
    <w:rsid w:val="003E56AB"/>
    <w:rsid w:val="003F3DC3"/>
    <w:rsid w:val="003F6785"/>
    <w:rsid w:val="003F6E50"/>
    <w:rsid w:val="00401CB5"/>
    <w:rsid w:val="00403F6E"/>
    <w:rsid w:val="004109A2"/>
    <w:rsid w:val="004113DD"/>
    <w:rsid w:val="0041229B"/>
    <w:rsid w:val="0041459A"/>
    <w:rsid w:val="00417299"/>
    <w:rsid w:val="00417659"/>
    <w:rsid w:val="00420E37"/>
    <w:rsid w:val="00426330"/>
    <w:rsid w:val="00426EB7"/>
    <w:rsid w:val="00427CC4"/>
    <w:rsid w:val="004304AE"/>
    <w:rsid w:val="00430D18"/>
    <w:rsid w:val="004316FD"/>
    <w:rsid w:val="00435609"/>
    <w:rsid w:val="004357B3"/>
    <w:rsid w:val="00440293"/>
    <w:rsid w:val="00441648"/>
    <w:rsid w:val="00442330"/>
    <w:rsid w:val="00443145"/>
    <w:rsid w:val="00444696"/>
    <w:rsid w:val="0044603A"/>
    <w:rsid w:val="00446B3E"/>
    <w:rsid w:val="00447BF6"/>
    <w:rsid w:val="00452149"/>
    <w:rsid w:val="004522B4"/>
    <w:rsid w:val="004522C8"/>
    <w:rsid w:val="00453ED8"/>
    <w:rsid w:val="00454BC7"/>
    <w:rsid w:val="00456362"/>
    <w:rsid w:val="004625E8"/>
    <w:rsid w:val="0046291E"/>
    <w:rsid w:val="00462EBD"/>
    <w:rsid w:val="0046358D"/>
    <w:rsid w:val="00465295"/>
    <w:rsid w:val="004672EC"/>
    <w:rsid w:val="00471611"/>
    <w:rsid w:val="00477A2E"/>
    <w:rsid w:val="00480B7A"/>
    <w:rsid w:val="004827C4"/>
    <w:rsid w:val="00484FAE"/>
    <w:rsid w:val="00485E6F"/>
    <w:rsid w:val="00491C5B"/>
    <w:rsid w:val="00491D25"/>
    <w:rsid w:val="00493E03"/>
    <w:rsid w:val="0049716A"/>
    <w:rsid w:val="004972EC"/>
    <w:rsid w:val="00497630"/>
    <w:rsid w:val="004A0B63"/>
    <w:rsid w:val="004A3BC5"/>
    <w:rsid w:val="004A449E"/>
    <w:rsid w:val="004A61C9"/>
    <w:rsid w:val="004A6F76"/>
    <w:rsid w:val="004B1F34"/>
    <w:rsid w:val="004B289F"/>
    <w:rsid w:val="004B35CE"/>
    <w:rsid w:val="004B3DE6"/>
    <w:rsid w:val="004B4DC4"/>
    <w:rsid w:val="004B5DC9"/>
    <w:rsid w:val="004B6E81"/>
    <w:rsid w:val="004B7A7F"/>
    <w:rsid w:val="004B7A9E"/>
    <w:rsid w:val="004C04CD"/>
    <w:rsid w:val="004C1A22"/>
    <w:rsid w:val="004C4FBF"/>
    <w:rsid w:val="004C6064"/>
    <w:rsid w:val="004D055F"/>
    <w:rsid w:val="004E110C"/>
    <w:rsid w:val="004E1290"/>
    <w:rsid w:val="004E7C99"/>
    <w:rsid w:val="004F1C3E"/>
    <w:rsid w:val="004F3226"/>
    <w:rsid w:val="004F349C"/>
    <w:rsid w:val="004F3E39"/>
    <w:rsid w:val="004F4F61"/>
    <w:rsid w:val="004F7674"/>
    <w:rsid w:val="004F7C61"/>
    <w:rsid w:val="00500122"/>
    <w:rsid w:val="00500DA6"/>
    <w:rsid w:val="00501090"/>
    <w:rsid w:val="00503EA9"/>
    <w:rsid w:val="00506308"/>
    <w:rsid w:val="00506B9A"/>
    <w:rsid w:val="00507786"/>
    <w:rsid w:val="00507C93"/>
    <w:rsid w:val="00514372"/>
    <w:rsid w:val="00521420"/>
    <w:rsid w:val="00522008"/>
    <w:rsid w:val="0052243C"/>
    <w:rsid w:val="00522B92"/>
    <w:rsid w:val="00523BBE"/>
    <w:rsid w:val="00523CDA"/>
    <w:rsid w:val="00524715"/>
    <w:rsid w:val="00526411"/>
    <w:rsid w:val="00531804"/>
    <w:rsid w:val="00540964"/>
    <w:rsid w:val="00543475"/>
    <w:rsid w:val="005457A3"/>
    <w:rsid w:val="00546759"/>
    <w:rsid w:val="00550503"/>
    <w:rsid w:val="00550B77"/>
    <w:rsid w:val="0055168C"/>
    <w:rsid w:val="00552861"/>
    <w:rsid w:val="005531C0"/>
    <w:rsid w:val="00564A10"/>
    <w:rsid w:val="005658EF"/>
    <w:rsid w:val="00565E23"/>
    <w:rsid w:val="00570EC7"/>
    <w:rsid w:val="0057447A"/>
    <w:rsid w:val="00575BF2"/>
    <w:rsid w:val="00575D10"/>
    <w:rsid w:val="0057611D"/>
    <w:rsid w:val="00577A85"/>
    <w:rsid w:val="00581BAC"/>
    <w:rsid w:val="005854E8"/>
    <w:rsid w:val="005868CC"/>
    <w:rsid w:val="00590AD9"/>
    <w:rsid w:val="00592E5F"/>
    <w:rsid w:val="0059378D"/>
    <w:rsid w:val="00593DBF"/>
    <w:rsid w:val="005949F2"/>
    <w:rsid w:val="00596282"/>
    <w:rsid w:val="00597357"/>
    <w:rsid w:val="00597F5E"/>
    <w:rsid w:val="005A0856"/>
    <w:rsid w:val="005A12C2"/>
    <w:rsid w:val="005A52FA"/>
    <w:rsid w:val="005A5EE0"/>
    <w:rsid w:val="005A5FFF"/>
    <w:rsid w:val="005A6470"/>
    <w:rsid w:val="005B2A50"/>
    <w:rsid w:val="005B3181"/>
    <w:rsid w:val="005B3A4E"/>
    <w:rsid w:val="005B6953"/>
    <w:rsid w:val="005C2BB0"/>
    <w:rsid w:val="005C76A1"/>
    <w:rsid w:val="005C7829"/>
    <w:rsid w:val="005D0A2C"/>
    <w:rsid w:val="005D5516"/>
    <w:rsid w:val="005D6B9C"/>
    <w:rsid w:val="005D7580"/>
    <w:rsid w:val="005E1010"/>
    <w:rsid w:val="005E26E1"/>
    <w:rsid w:val="005E5A8E"/>
    <w:rsid w:val="005E6D82"/>
    <w:rsid w:val="005F01E6"/>
    <w:rsid w:val="005F0A65"/>
    <w:rsid w:val="005F0F32"/>
    <w:rsid w:val="005F4A57"/>
    <w:rsid w:val="005F6265"/>
    <w:rsid w:val="005F6BF4"/>
    <w:rsid w:val="00601671"/>
    <w:rsid w:val="00602CE4"/>
    <w:rsid w:val="00605CAA"/>
    <w:rsid w:val="006070EA"/>
    <w:rsid w:val="00614F8D"/>
    <w:rsid w:val="0061500F"/>
    <w:rsid w:val="0061640E"/>
    <w:rsid w:val="0062137B"/>
    <w:rsid w:val="0062163E"/>
    <w:rsid w:val="00624986"/>
    <w:rsid w:val="00625F0E"/>
    <w:rsid w:val="006270F9"/>
    <w:rsid w:val="00632761"/>
    <w:rsid w:val="00634652"/>
    <w:rsid w:val="006356AA"/>
    <w:rsid w:val="00635CE7"/>
    <w:rsid w:val="006366ED"/>
    <w:rsid w:val="00640685"/>
    <w:rsid w:val="0064164F"/>
    <w:rsid w:val="00641757"/>
    <w:rsid w:val="00642FE1"/>
    <w:rsid w:val="00644441"/>
    <w:rsid w:val="00651B6B"/>
    <w:rsid w:val="00651EB1"/>
    <w:rsid w:val="006526A9"/>
    <w:rsid w:val="00653A13"/>
    <w:rsid w:val="00653A30"/>
    <w:rsid w:val="006544A0"/>
    <w:rsid w:val="00654CF0"/>
    <w:rsid w:val="00655F33"/>
    <w:rsid w:val="0065654E"/>
    <w:rsid w:val="00656982"/>
    <w:rsid w:val="00657E7C"/>
    <w:rsid w:val="00660939"/>
    <w:rsid w:val="00661C0A"/>
    <w:rsid w:val="0066336F"/>
    <w:rsid w:val="00663DF2"/>
    <w:rsid w:val="006656D4"/>
    <w:rsid w:val="00666497"/>
    <w:rsid w:val="00667ECC"/>
    <w:rsid w:val="00671767"/>
    <w:rsid w:val="0067481E"/>
    <w:rsid w:val="00674CF3"/>
    <w:rsid w:val="00681F9C"/>
    <w:rsid w:val="00682A95"/>
    <w:rsid w:val="00682B38"/>
    <w:rsid w:val="006851F9"/>
    <w:rsid w:val="00687BA6"/>
    <w:rsid w:val="0069307B"/>
    <w:rsid w:val="00695FEF"/>
    <w:rsid w:val="006972ED"/>
    <w:rsid w:val="006A2761"/>
    <w:rsid w:val="006A3A31"/>
    <w:rsid w:val="006A7174"/>
    <w:rsid w:val="006A7688"/>
    <w:rsid w:val="006B1881"/>
    <w:rsid w:val="006B1E13"/>
    <w:rsid w:val="006B2177"/>
    <w:rsid w:val="006B22C2"/>
    <w:rsid w:val="006B5F57"/>
    <w:rsid w:val="006B65CA"/>
    <w:rsid w:val="006B6F5F"/>
    <w:rsid w:val="006C3C3A"/>
    <w:rsid w:val="006C4FA3"/>
    <w:rsid w:val="006C4FE5"/>
    <w:rsid w:val="006C588F"/>
    <w:rsid w:val="006C6837"/>
    <w:rsid w:val="006C7E2F"/>
    <w:rsid w:val="006D4111"/>
    <w:rsid w:val="006F0B05"/>
    <w:rsid w:val="006F3EAD"/>
    <w:rsid w:val="006F40FC"/>
    <w:rsid w:val="00700C01"/>
    <w:rsid w:val="007031EA"/>
    <w:rsid w:val="00711AEC"/>
    <w:rsid w:val="007122D1"/>
    <w:rsid w:val="00720DA9"/>
    <w:rsid w:val="007211BB"/>
    <w:rsid w:val="00721B73"/>
    <w:rsid w:val="007248A8"/>
    <w:rsid w:val="00726149"/>
    <w:rsid w:val="00726CE4"/>
    <w:rsid w:val="00726F52"/>
    <w:rsid w:val="00730F3D"/>
    <w:rsid w:val="007315DD"/>
    <w:rsid w:val="007332FF"/>
    <w:rsid w:val="00737545"/>
    <w:rsid w:val="00737D11"/>
    <w:rsid w:val="007422D1"/>
    <w:rsid w:val="00745B18"/>
    <w:rsid w:val="007509D4"/>
    <w:rsid w:val="007539A3"/>
    <w:rsid w:val="00755474"/>
    <w:rsid w:val="00756D28"/>
    <w:rsid w:val="00757FA8"/>
    <w:rsid w:val="00760979"/>
    <w:rsid w:val="00761354"/>
    <w:rsid w:val="00764C11"/>
    <w:rsid w:val="00764F6A"/>
    <w:rsid w:val="00765E74"/>
    <w:rsid w:val="007715E8"/>
    <w:rsid w:val="00772614"/>
    <w:rsid w:val="00775163"/>
    <w:rsid w:val="00775640"/>
    <w:rsid w:val="007764D0"/>
    <w:rsid w:val="00777398"/>
    <w:rsid w:val="00777A8E"/>
    <w:rsid w:val="00777CA1"/>
    <w:rsid w:val="007801C9"/>
    <w:rsid w:val="007803F3"/>
    <w:rsid w:val="00782D73"/>
    <w:rsid w:val="00785517"/>
    <w:rsid w:val="007870D1"/>
    <w:rsid w:val="00787600"/>
    <w:rsid w:val="0079081E"/>
    <w:rsid w:val="00794153"/>
    <w:rsid w:val="007A239C"/>
    <w:rsid w:val="007A3A19"/>
    <w:rsid w:val="007A43ED"/>
    <w:rsid w:val="007A46F8"/>
    <w:rsid w:val="007A5846"/>
    <w:rsid w:val="007A7EBA"/>
    <w:rsid w:val="007B17C6"/>
    <w:rsid w:val="007B6945"/>
    <w:rsid w:val="007B6D8F"/>
    <w:rsid w:val="007C0CB7"/>
    <w:rsid w:val="007C17DC"/>
    <w:rsid w:val="007C44FE"/>
    <w:rsid w:val="007C586A"/>
    <w:rsid w:val="007C59A6"/>
    <w:rsid w:val="007C5EE5"/>
    <w:rsid w:val="007C623B"/>
    <w:rsid w:val="007C640A"/>
    <w:rsid w:val="007D15F0"/>
    <w:rsid w:val="007D7589"/>
    <w:rsid w:val="007E168C"/>
    <w:rsid w:val="007E2F28"/>
    <w:rsid w:val="007E3268"/>
    <w:rsid w:val="007E3960"/>
    <w:rsid w:val="007E6BB9"/>
    <w:rsid w:val="007E6FB3"/>
    <w:rsid w:val="007F3565"/>
    <w:rsid w:val="007F42C7"/>
    <w:rsid w:val="007F4A6E"/>
    <w:rsid w:val="00804325"/>
    <w:rsid w:val="00805F4E"/>
    <w:rsid w:val="008073D4"/>
    <w:rsid w:val="00807404"/>
    <w:rsid w:val="0080788D"/>
    <w:rsid w:val="00810BA1"/>
    <w:rsid w:val="00811874"/>
    <w:rsid w:val="00811CE7"/>
    <w:rsid w:val="008132BB"/>
    <w:rsid w:val="00815C03"/>
    <w:rsid w:val="0081731A"/>
    <w:rsid w:val="008177E7"/>
    <w:rsid w:val="00823CDD"/>
    <w:rsid w:val="00823F17"/>
    <w:rsid w:val="00823F5A"/>
    <w:rsid w:val="0082443D"/>
    <w:rsid w:val="0083153A"/>
    <w:rsid w:val="00831EC1"/>
    <w:rsid w:val="00836AAF"/>
    <w:rsid w:val="00837A84"/>
    <w:rsid w:val="00837AA7"/>
    <w:rsid w:val="00841433"/>
    <w:rsid w:val="0084343C"/>
    <w:rsid w:val="00846A84"/>
    <w:rsid w:val="00852334"/>
    <w:rsid w:val="00856285"/>
    <w:rsid w:val="00857730"/>
    <w:rsid w:val="00862A1D"/>
    <w:rsid w:val="00864703"/>
    <w:rsid w:val="00864D34"/>
    <w:rsid w:val="00865781"/>
    <w:rsid w:val="008719CB"/>
    <w:rsid w:val="0087280A"/>
    <w:rsid w:val="008738AB"/>
    <w:rsid w:val="0087406C"/>
    <w:rsid w:val="0087494D"/>
    <w:rsid w:val="00875C79"/>
    <w:rsid w:val="00875E6D"/>
    <w:rsid w:val="00881153"/>
    <w:rsid w:val="0088331A"/>
    <w:rsid w:val="00890504"/>
    <w:rsid w:val="0089154B"/>
    <w:rsid w:val="0089315C"/>
    <w:rsid w:val="00894C9C"/>
    <w:rsid w:val="00896FB6"/>
    <w:rsid w:val="008A1C93"/>
    <w:rsid w:val="008A500A"/>
    <w:rsid w:val="008B364B"/>
    <w:rsid w:val="008B5042"/>
    <w:rsid w:val="008B5FCB"/>
    <w:rsid w:val="008B61C2"/>
    <w:rsid w:val="008B7339"/>
    <w:rsid w:val="008B7ADF"/>
    <w:rsid w:val="008C3643"/>
    <w:rsid w:val="008C4AE5"/>
    <w:rsid w:val="008C721F"/>
    <w:rsid w:val="008D08D9"/>
    <w:rsid w:val="008D5336"/>
    <w:rsid w:val="008D5AD1"/>
    <w:rsid w:val="008D607F"/>
    <w:rsid w:val="008D6102"/>
    <w:rsid w:val="008D62C7"/>
    <w:rsid w:val="008D70F9"/>
    <w:rsid w:val="008E12C1"/>
    <w:rsid w:val="008E166D"/>
    <w:rsid w:val="008E16EF"/>
    <w:rsid w:val="008E210F"/>
    <w:rsid w:val="008E4DF0"/>
    <w:rsid w:val="008E526A"/>
    <w:rsid w:val="008E5B85"/>
    <w:rsid w:val="008F1457"/>
    <w:rsid w:val="008F162A"/>
    <w:rsid w:val="008F5504"/>
    <w:rsid w:val="00904E22"/>
    <w:rsid w:val="00905BA1"/>
    <w:rsid w:val="00913E50"/>
    <w:rsid w:val="0091403A"/>
    <w:rsid w:val="009144AC"/>
    <w:rsid w:val="00914E39"/>
    <w:rsid w:val="0091557F"/>
    <w:rsid w:val="00915ED0"/>
    <w:rsid w:val="00916BD0"/>
    <w:rsid w:val="0092058F"/>
    <w:rsid w:val="00920E28"/>
    <w:rsid w:val="0092109F"/>
    <w:rsid w:val="009231E6"/>
    <w:rsid w:val="0092579F"/>
    <w:rsid w:val="009271EC"/>
    <w:rsid w:val="00931760"/>
    <w:rsid w:val="009331C5"/>
    <w:rsid w:val="00933389"/>
    <w:rsid w:val="009406C2"/>
    <w:rsid w:val="00941171"/>
    <w:rsid w:val="00941969"/>
    <w:rsid w:val="00942727"/>
    <w:rsid w:val="009469E5"/>
    <w:rsid w:val="0094717A"/>
    <w:rsid w:val="009479DB"/>
    <w:rsid w:val="009513E6"/>
    <w:rsid w:val="009521FE"/>
    <w:rsid w:val="00953686"/>
    <w:rsid w:val="009540C4"/>
    <w:rsid w:val="009629D4"/>
    <w:rsid w:val="00963C93"/>
    <w:rsid w:val="009640EC"/>
    <w:rsid w:val="00964A52"/>
    <w:rsid w:val="009670CB"/>
    <w:rsid w:val="009677CC"/>
    <w:rsid w:val="009711B2"/>
    <w:rsid w:val="00971623"/>
    <w:rsid w:val="009727A0"/>
    <w:rsid w:val="00972C86"/>
    <w:rsid w:val="009732B4"/>
    <w:rsid w:val="00974A81"/>
    <w:rsid w:val="00974FC9"/>
    <w:rsid w:val="0097570A"/>
    <w:rsid w:val="009828A4"/>
    <w:rsid w:val="00983D49"/>
    <w:rsid w:val="00984CD6"/>
    <w:rsid w:val="009857B1"/>
    <w:rsid w:val="00985895"/>
    <w:rsid w:val="00987A53"/>
    <w:rsid w:val="00990B57"/>
    <w:rsid w:val="00993F99"/>
    <w:rsid w:val="009A0986"/>
    <w:rsid w:val="009A10BF"/>
    <w:rsid w:val="009A45C8"/>
    <w:rsid w:val="009A59C7"/>
    <w:rsid w:val="009A60B0"/>
    <w:rsid w:val="009A7E67"/>
    <w:rsid w:val="009B1F15"/>
    <w:rsid w:val="009B30CF"/>
    <w:rsid w:val="009B3782"/>
    <w:rsid w:val="009B6741"/>
    <w:rsid w:val="009C130B"/>
    <w:rsid w:val="009C1EA5"/>
    <w:rsid w:val="009C37C0"/>
    <w:rsid w:val="009C447C"/>
    <w:rsid w:val="009C5EF4"/>
    <w:rsid w:val="009D5762"/>
    <w:rsid w:val="009D5DAA"/>
    <w:rsid w:val="009D6899"/>
    <w:rsid w:val="009D79C1"/>
    <w:rsid w:val="009D7FCC"/>
    <w:rsid w:val="009E08FB"/>
    <w:rsid w:val="009E10AB"/>
    <w:rsid w:val="009E18C4"/>
    <w:rsid w:val="009E26CF"/>
    <w:rsid w:val="009E2F21"/>
    <w:rsid w:val="009E59B0"/>
    <w:rsid w:val="009F4063"/>
    <w:rsid w:val="009F4DC5"/>
    <w:rsid w:val="009F5FE7"/>
    <w:rsid w:val="009F63DE"/>
    <w:rsid w:val="009F7181"/>
    <w:rsid w:val="009F7A4D"/>
    <w:rsid w:val="00A01520"/>
    <w:rsid w:val="00A01CBE"/>
    <w:rsid w:val="00A02E22"/>
    <w:rsid w:val="00A11758"/>
    <w:rsid w:val="00A131E8"/>
    <w:rsid w:val="00A13C0D"/>
    <w:rsid w:val="00A14149"/>
    <w:rsid w:val="00A142C9"/>
    <w:rsid w:val="00A14979"/>
    <w:rsid w:val="00A15312"/>
    <w:rsid w:val="00A15DA7"/>
    <w:rsid w:val="00A20F48"/>
    <w:rsid w:val="00A22010"/>
    <w:rsid w:val="00A26FC1"/>
    <w:rsid w:val="00A3398D"/>
    <w:rsid w:val="00A34603"/>
    <w:rsid w:val="00A36862"/>
    <w:rsid w:val="00A432AF"/>
    <w:rsid w:val="00A43D57"/>
    <w:rsid w:val="00A44CF2"/>
    <w:rsid w:val="00A45A87"/>
    <w:rsid w:val="00A45E59"/>
    <w:rsid w:val="00A45E80"/>
    <w:rsid w:val="00A50A8E"/>
    <w:rsid w:val="00A56BA7"/>
    <w:rsid w:val="00A577F6"/>
    <w:rsid w:val="00A57AD0"/>
    <w:rsid w:val="00A676AA"/>
    <w:rsid w:val="00A679E5"/>
    <w:rsid w:val="00A7165E"/>
    <w:rsid w:val="00A718FE"/>
    <w:rsid w:val="00A7250A"/>
    <w:rsid w:val="00A73BCC"/>
    <w:rsid w:val="00A760C8"/>
    <w:rsid w:val="00A772F6"/>
    <w:rsid w:val="00A80298"/>
    <w:rsid w:val="00A806B7"/>
    <w:rsid w:val="00A80F6A"/>
    <w:rsid w:val="00A82A65"/>
    <w:rsid w:val="00A8503E"/>
    <w:rsid w:val="00A850E0"/>
    <w:rsid w:val="00A86014"/>
    <w:rsid w:val="00A910EE"/>
    <w:rsid w:val="00A94D03"/>
    <w:rsid w:val="00A96B89"/>
    <w:rsid w:val="00A96D19"/>
    <w:rsid w:val="00AA0F15"/>
    <w:rsid w:val="00AA579D"/>
    <w:rsid w:val="00AA764D"/>
    <w:rsid w:val="00AA7BD6"/>
    <w:rsid w:val="00AB0FD7"/>
    <w:rsid w:val="00AB4560"/>
    <w:rsid w:val="00AC0DDC"/>
    <w:rsid w:val="00AC1625"/>
    <w:rsid w:val="00AC3648"/>
    <w:rsid w:val="00AC6B2C"/>
    <w:rsid w:val="00AC747D"/>
    <w:rsid w:val="00AD0867"/>
    <w:rsid w:val="00AD1AEC"/>
    <w:rsid w:val="00AD2AF1"/>
    <w:rsid w:val="00AD67F5"/>
    <w:rsid w:val="00AE00E6"/>
    <w:rsid w:val="00AE18C7"/>
    <w:rsid w:val="00AE5A90"/>
    <w:rsid w:val="00AE5D22"/>
    <w:rsid w:val="00AE77C3"/>
    <w:rsid w:val="00AF2549"/>
    <w:rsid w:val="00B01A00"/>
    <w:rsid w:val="00B02F00"/>
    <w:rsid w:val="00B0580E"/>
    <w:rsid w:val="00B107A7"/>
    <w:rsid w:val="00B10EBE"/>
    <w:rsid w:val="00B11BB3"/>
    <w:rsid w:val="00B12AE7"/>
    <w:rsid w:val="00B139B3"/>
    <w:rsid w:val="00B14F49"/>
    <w:rsid w:val="00B16BC2"/>
    <w:rsid w:val="00B238D0"/>
    <w:rsid w:val="00B25422"/>
    <w:rsid w:val="00B25F02"/>
    <w:rsid w:val="00B2626E"/>
    <w:rsid w:val="00B30629"/>
    <w:rsid w:val="00B31F36"/>
    <w:rsid w:val="00B32FC4"/>
    <w:rsid w:val="00B3359F"/>
    <w:rsid w:val="00B3505D"/>
    <w:rsid w:val="00B3773E"/>
    <w:rsid w:val="00B42A1E"/>
    <w:rsid w:val="00B43D1D"/>
    <w:rsid w:val="00B518AD"/>
    <w:rsid w:val="00B52CDA"/>
    <w:rsid w:val="00B531DC"/>
    <w:rsid w:val="00B54A7E"/>
    <w:rsid w:val="00B5561B"/>
    <w:rsid w:val="00B60455"/>
    <w:rsid w:val="00B60787"/>
    <w:rsid w:val="00B62A17"/>
    <w:rsid w:val="00B63739"/>
    <w:rsid w:val="00B63ED0"/>
    <w:rsid w:val="00B64E02"/>
    <w:rsid w:val="00B655FB"/>
    <w:rsid w:val="00B65677"/>
    <w:rsid w:val="00B67893"/>
    <w:rsid w:val="00B766F9"/>
    <w:rsid w:val="00B76EDE"/>
    <w:rsid w:val="00B80114"/>
    <w:rsid w:val="00B8112B"/>
    <w:rsid w:val="00B82076"/>
    <w:rsid w:val="00B83F6C"/>
    <w:rsid w:val="00B84589"/>
    <w:rsid w:val="00B846A6"/>
    <w:rsid w:val="00B85222"/>
    <w:rsid w:val="00B8660A"/>
    <w:rsid w:val="00B866F0"/>
    <w:rsid w:val="00B90113"/>
    <w:rsid w:val="00B91F01"/>
    <w:rsid w:val="00B92A8C"/>
    <w:rsid w:val="00B936F7"/>
    <w:rsid w:val="00B93F45"/>
    <w:rsid w:val="00BA0F97"/>
    <w:rsid w:val="00BA211B"/>
    <w:rsid w:val="00BA5FF4"/>
    <w:rsid w:val="00BB0D14"/>
    <w:rsid w:val="00BB23DC"/>
    <w:rsid w:val="00BB2F83"/>
    <w:rsid w:val="00BB4A71"/>
    <w:rsid w:val="00BC1857"/>
    <w:rsid w:val="00BC1A4E"/>
    <w:rsid w:val="00BC20FD"/>
    <w:rsid w:val="00BC27C2"/>
    <w:rsid w:val="00BC42E8"/>
    <w:rsid w:val="00BC44A4"/>
    <w:rsid w:val="00BD1990"/>
    <w:rsid w:val="00BD7C22"/>
    <w:rsid w:val="00BE4143"/>
    <w:rsid w:val="00BE7088"/>
    <w:rsid w:val="00BE7805"/>
    <w:rsid w:val="00BF149F"/>
    <w:rsid w:val="00BF3B1A"/>
    <w:rsid w:val="00BF6C43"/>
    <w:rsid w:val="00BF761E"/>
    <w:rsid w:val="00C01E04"/>
    <w:rsid w:val="00C02113"/>
    <w:rsid w:val="00C03996"/>
    <w:rsid w:val="00C06322"/>
    <w:rsid w:val="00C06B8E"/>
    <w:rsid w:val="00C07356"/>
    <w:rsid w:val="00C114E8"/>
    <w:rsid w:val="00C11E13"/>
    <w:rsid w:val="00C11FED"/>
    <w:rsid w:val="00C12287"/>
    <w:rsid w:val="00C12633"/>
    <w:rsid w:val="00C128D5"/>
    <w:rsid w:val="00C16273"/>
    <w:rsid w:val="00C16DDF"/>
    <w:rsid w:val="00C2086A"/>
    <w:rsid w:val="00C22E43"/>
    <w:rsid w:val="00C25036"/>
    <w:rsid w:val="00C25938"/>
    <w:rsid w:val="00C25F58"/>
    <w:rsid w:val="00C27807"/>
    <w:rsid w:val="00C30B8C"/>
    <w:rsid w:val="00C30BF2"/>
    <w:rsid w:val="00C32E97"/>
    <w:rsid w:val="00C33E59"/>
    <w:rsid w:val="00C33ED2"/>
    <w:rsid w:val="00C347F0"/>
    <w:rsid w:val="00C37DF9"/>
    <w:rsid w:val="00C40799"/>
    <w:rsid w:val="00C435D1"/>
    <w:rsid w:val="00C44FCE"/>
    <w:rsid w:val="00C45363"/>
    <w:rsid w:val="00C46B5A"/>
    <w:rsid w:val="00C50DFF"/>
    <w:rsid w:val="00C535F9"/>
    <w:rsid w:val="00C55B5E"/>
    <w:rsid w:val="00C56A4E"/>
    <w:rsid w:val="00C6132B"/>
    <w:rsid w:val="00C61F6A"/>
    <w:rsid w:val="00C61F6E"/>
    <w:rsid w:val="00C62918"/>
    <w:rsid w:val="00C635D6"/>
    <w:rsid w:val="00C65972"/>
    <w:rsid w:val="00C663E4"/>
    <w:rsid w:val="00C6723F"/>
    <w:rsid w:val="00C67A5E"/>
    <w:rsid w:val="00C70B45"/>
    <w:rsid w:val="00C72838"/>
    <w:rsid w:val="00C73A3E"/>
    <w:rsid w:val="00C73FE7"/>
    <w:rsid w:val="00C76A20"/>
    <w:rsid w:val="00C76F51"/>
    <w:rsid w:val="00C867FF"/>
    <w:rsid w:val="00C86A05"/>
    <w:rsid w:val="00C87CE6"/>
    <w:rsid w:val="00C91B33"/>
    <w:rsid w:val="00C921C8"/>
    <w:rsid w:val="00C9267A"/>
    <w:rsid w:val="00C92EBF"/>
    <w:rsid w:val="00C93C90"/>
    <w:rsid w:val="00C944DA"/>
    <w:rsid w:val="00CA3A40"/>
    <w:rsid w:val="00CA4630"/>
    <w:rsid w:val="00CA6595"/>
    <w:rsid w:val="00CA6682"/>
    <w:rsid w:val="00CB1C33"/>
    <w:rsid w:val="00CB40C4"/>
    <w:rsid w:val="00CB460B"/>
    <w:rsid w:val="00CB621C"/>
    <w:rsid w:val="00CC21B0"/>
    <w:rsid w:val="00CC2A3C"/>
    <w:rsid w:val="00CD2D1D"/>
    <w:rsid w:val="00CD5F94"/>
    <w:rsid w:val="00CE0255"/>
    <w:rsid w:val="00CE18D8"/>
    <w:rsid w:val="00CE2AA2"/>
    <w:rsid w:val="00CE33AE"/>
    <w:rsid w:val="00CE3BE3"/>
    <w:rsid w:val="00CE4469"/>
    <w:rsid w:val="00CE46EF"/>
    <w:rsid w:val="00CF05E5"/>
    <w:rsid w:val="00CF11BD"/>
    <w:rsid w:val="00CF3FB9"/>
    <w:rsid w:val="00CF5257"/>
    <w:rsid w:val="00CF5F2E"/>
    <w:rsid w:val="00CF6165"/>
    <w:rsid w:val="00CF6CBA"/>
    <w:rsid w:val="00CF7EA2"/>
    <w:rsid w:val="00D0044D"/>
    <w:rsid w:val="00D01008"/>
    <w:rsid w:val="00D0224D"/>
    <w:rsid w:val="00D02785"/>
    <w:rsid w:val="00D02826"/>
    <w:rsid w:val="00D034DB"/>
    <w:rsid w:val="00D100A5"/>
    <w:rsid w:val="00D17AB6"/>
    <w:rsid w:val="00D200C6"/>
    <w:rsid w:val="00D20C37"/>
    <w:rsid w:val="00D23CD6"/>
    <w:rsid w:val="00D25BB2"/>
    <w:rsid w:val="00D32A39"/>
    <w:rsid w:val="00D3313C"/>
    <w:rsid w:val="00D35B35"/>
    <w:rsid w:val="00D3798F"/>
    <w:rsid w:val="00D431E8"/>
    <w:rsid w:val="00D46A7B"/>
    <w:rsid w:val="00D52703"/>
    <w:rsid w:val="00D542BA"/>
    <w:rsid w:val="00D5506F"/>
    <w:rsid w:val="00D564EE"/>
    <w:rsid w:val="00D60368"/>
    <w:rsid w:val="00D64936"/>
    <w:rsid w:val="00D64F1A"/>
    <w:rsid w:val="00D66A72"/>
    <w:rsid w:val="00D713DC"/>
    <w:rsid w:val="00D72F4D"/>
    <w:rsid w:val="00D736AC"/>
    <w:rsid w:val="00D7671D"/>
    <w:rsid w:val="00D76C99"/>
    <w:rsid w:val="00D77A08"/>
    <w:rsid w:val="00D81413"/>
    <w:rsid w:val="00D8315A"/>
    <w:rsid w:val="00D85F8F"/>
    <w:rsid w:val="00D860A8"/>
    <w:rsid w:val="00D87E57"/>
    <w:rsid w:val="00D87EFA"/>
    <w:rsid w:val="00D954FC"/>
    <w:rsid w:val="00DA1BA5"/>
    <w:rsid w:val="00DA580C"/>
    <w:rsid w:val="00DA5C13"/>
    <w:rsid w:val="00DA5CAA"/>
    <w:rsid w:val="00DA5D90"/>
    <w:rsid w:val="00DA6C29"/>
    <w:rsid w:val="00DA6E8D"/>
    <w:rsid w:val="00DA7222"/>
    <w:rsid w:val="00DA761F"/>
    <w:rsid w:val="00DB0CD1"/>
    <w:rsid w:val="00DB15EA"/>
    <w:rsid w:val="00DB2FF6"/>
    <w:rsid w:val="00DB4343"/>
    <w:rsid w:val="00DB6260"/>
    <w:rsid w:val="00DC134B"/>
    <w:rsid w:val="00DC3BF6"/>
    <w:rsid w:val="00DC6DD2"/>
    <w:rsid w:val="00DD15D1"/>
    <w:rsid w:val="00DD2575"/>
    <w:rsid w:val="00DD3185"/>
    <w:rsid w:val="00DD7E12"/>
    <w:rsid w:val="00DE0CF4"/>
    <w:rsid w:val="00DE0E63"/>
    <w:rsid w:val="00DE3DC6"/>
    <w:rsid w:val="00DE41A9"/>
    <w:rsid w:val="00DE4819"/>
    <w:rsid w:val="00DF594E"/>
    <w:rsid w:val="00DF5F8A"/>
    <w:rsid w:val="00DF6BA3"/>
    <w:rsid w:val="00DF7B1D"/>
    <w:rsid w:val="00E00756"/>
    <w:rsid w:val="00E04622"/>
    <w:rsid w:val="00E0553E"/>
    <w:rsid w:val="00E062DB"/>
    <w:rsid w:val="00E06486"/>
    <w:rsid w:val="00E101FB"/>
    <w:rsid w:val="00E2064E"/>
    <w:rsid w:val="00E22246"/>
    <w:rsid w:val="00E2359B"/>
    <w:rsid w:val="00E24230"/>
    <w:rsid w:val="00E26A69"/>
    <w:rsid w:val="00E3006E"/>
    <w:rsid w:val="00E3107A"/>
    <w:rsid w:val="00E32BC9"/>
    <w:rsid w:val="00E35388"/>
    <w:rsid w:val="00E366F4"/>
    <w:rsid w:val="00E40CE6"/>
    <w:rsid w:val="00E41662"/>
    <w:rsid w:val="00E41861"/>
    <w:rsid w:val="00E421D7"/>
    <w:rsid w:val="00E43757"/>
    <w:rsid w:val="00E43E07"/>
    <w:rsid w:val="00E454FE"/>
    <w:rsid w:val="00E46464"/>
    <w:rsid w:val="00E5259D"/>
    <w:rsid w:val="00E54AB4"/>
    <w:rsid w:val="00E572F8"/>
    <w:rsid w:val="00E57AFA"/>
    <w:rsid w:val="00E57DD3"/>
    <w:rsid w:val="00E63FB0"/>
    <w:rsid w:val="00E6479A"/>
    <w:rsid w:val="00E64E04"/>
    <w:rsid w:val="00E66D45"/>
    <w:rsid w:val="00E67F27"/>
    <w:rsid w:val="00E7021D"/>
    <w:rsid w:val="00E703A1"/>
    <w:rsid w:val="00E74F4F"/>
    <w:rsid w:val="00E75E18"/>
    <w:rsid w:val="00E770AD"/>
    <w:rsid w:val="00E80717"/>
    <w:rsid w:val="00E84179"/>
    <w:rsid w:val="00E85410"/>
    <w:rsid w:val="00E86F20"/>
    <w:rsid w:val="00E913F3"/>
    <w:rsid w:val="00E95BDA"/>
    <w:rsid w:val="00EA05E3"/>
    <w:rsid w:val="00EA4368"/>
    <w:rsid w:val="00EA5AD9"/>
    <w:rsid w:val="00EB1658"/>
    <w:rsid w:val="00EB38C5"/>
    <w:rsid w:val="00EB395C"/>
    <w:rsid w:val="00EB4A9B"/>
    <w:rsid w:val="00EB60BD"/>
    <w:rsid w:val="00EB6F95"/>
    <w:rsid w:val="00EC4E95"/>
    <w:rsid w:val="00EC582D"/>
    <w:rsid w:val="00EC6E2F"/>
    <w:rsid w:val="00EC7B03"/>
    <w:rsid w:val="00ED2066"/>
    <w:rsid w:val="00ED2DC6"/>
    <w:rsid w:val="00ED34E5"/>
    <w:rsid w:val="00ED623D"/>
    <w:rsid w:val="00ED6426"/>
    <w:rsid w:val="00ED76B8"/>
    <w:rsid w:val="00EF07FE"/>
    <w:rsid w:val="00EF0A7A"/>
    <w:rsid w:val="00EF100A"/>
    <w:rsid w:val="00EF164D"/>
    <w:rsid w:val="00EF19EA"/>
    <w:rsid w:val="00EF1F0F"/>
    <w:rsid w:val="00EF1F97"/>
    <w:rsid w:val="00EF74A8"/>
    <w:rsid w:val="00F003FB"/>
    <w:rsid w:val="00F00A7A"/>
    <w:rsid w:val="00F04F30"/>
    <w:rsid w:val="00F139D7"/>
    <w:rsid w:val="00F161F4"/>
    <w:rsid w:val="00F16CC1"/>
    <w:rsid w:val="00F224F9"/>
    <w:rsid w:val="00F2707F"/>
    <w:rsid w:val="00F32283"/>
    <w:rsid w:val="00F32B1D"/>
    <w:rsid w:val="00F32FB0"/>
    <w:rsid w:val="00F330A3"/>
    <w:rsid w:val="00F34C75"/>
    <w:rsid w:val="00F35690"/>
    <w:rsid w:val="00F4033D"/>
    <w:rsid w:val="00F4500D"/>
    <w:rsid w:val="00F45CDA"/>
    <w:rsid w:val="00F512BD"/>
    <w:rsid w:val="00F536D1"/>
    <w:rsid w:val="00F55D95"/>
    <w:rsid w:val="00F60CF8"/>
    <w:rsid w:val="00F6102B"/>
    <w:rsid w:val="00F65542"/>
    <w:rsid w:val="00F670CB"/>
    <w:rsid w:val="00F67573"/>
    <w:rsid w:val="00F717BE"/>
    <w:rsid w:val="00F76DBA"/>
    <w:rsid w:val="00F77EA7"/>
    <w:rsid w:val="00F81B51"/>
    <w:rsid w:val="00F845ED"/>
    <w:rsid w:val="00F85878"/>
    <w:rsid w:val="00F85B3B"/>
    <w:rsid w:val="00F86C5D"/>
    <w:rsid w:val="00F87147"/>
    <w:rsid w:val="00F874A7"/>
    <w:rsid w:val="00F906FA"/>
    <w:rsid w:val="00F90735"/>
    <w:rsid w:val="00F908C7"/>
    <w:rsid w:val="00F92E09"/>
    <w:rsid w:val="00FA0CC0"/>
    <w:rsid w:val="00FA3248"/>
    <w:rsid w:val="00FA35CA"/>
    <w:rsid w:val="00FB2E39"/>
    <w:rsid w:val="00FB4013"/>
    <w:rsid w:val="00FB43FD"/>
    <w:rsid w:val="00FC2319"/>
    <w:rsid w:val="00FC4DCD"/>
    <w:rsid w:val="00FC530C"/>
    <w:rsid w:val="00FD3110"/>
    <w:rsid w:val="00FD4814"/>
    <w:rsid w:val="00FE02B0"/>
    <w:rsid w:val="00FE1350"/>
    <w:rsid w:val="00FE20C9"/>
    <w:rsid w:val="00FE435A"/>
    <w:rsid w:val="00FE46A9"/>
    <w:rsid w:val="00FE53B2"/>
    <w:rsid w:val="00FE59C3"/>
    <w:rsid w:val="00FE697B"/>
    <w:rsid w:val="00FE73A4"/>
    <w:rsid w:val="00FF073E"/>
    <w:rsid w:val="00FF202F"/>
    <w:rsid w:val="00FF413A"/>
    <w:rsid w:val="056E1A36"/>
    <w:rsid w:val="05CE2081"/>
    <w:rsid w:val="0E521B9A"/>
    <w:rsid w:val="101544E4"/>
    <w:rsid w:val="10BB4439"/>
    <w:rsid w:val="116457F1"/>
    <w:rsid w:val="14101FC0"/>
    <w:rsid w:val="16BF55F7"/>
    <w:rsid w:val="1BEF65FF"/>
    <w:rsid w:val="1D606475"/>
    <w:rsid w:val="1F727B01"/>
    <w:rsid w:val="1F9C9F9E"/>
    <w:rsid w:val="1FF65FE0"/>
    <w:rsid w:val="234B2768"/>
    <w:rsid w:val="24E574A9"/>
    <w:rsid w:val="2BD27A22"/>
    <w:rsid w:val="2BFB704C"/>
    <w:rsid w:val="2C2F78A3"/>
    <w:rsid w:val="2C413B71"/>
    <w:rsid w:val="2C607051"/>
    <w:rsid w:val="2FFFA4F3"/>
    <w:rsid w:val="31FC3113"/>
    <w:rsid w:val="32A37436"/>
    <w:rsid w:val="33B1415F"/>
    <w:rsid w:val="34433534"/>
    <w:rsid w:val="363D610B"/>
    <w:rsid w:val="37EFBB03"/>
    <w:rsid w:val="3AC727C9"/>
    <w:rsid w:val="3ACEFA65"/>
    <w:rsid w:val="3D637C35"/>
    <w:rsid w:val="3DFD3051"/>
    <w:rsid w:val="3F77B2EA"/>
    <w:rsid w:val="4323070A"/>
    <w:rsid w:val="44BE1BC0"/>
    <w:rsid w:val="470E7CF8"/>
    <w:rsid w:val="484F3305"/>
    <w:rsid w:val="48D12A65"/>
    <w:rsid w:val="495245DA"/>
    <w:rsid w:val="495C4A24"/>
    <w:rsid w:val="4ADA6548"/>
    <w:rsid w:val="4BC7CF4D"/>
    <w:rsid w:val="4BFC0AB8"/>
    <w:rsid w:val="4E5D070C"/>
    <w:rsid w:val="4FB52A43"/>
    <w:rsid w:val="4FFE069B"/>
    <w:rsid w:val="505D31E2"/>
    <w:rsid w:val="523323C8"/>
    <w:rsid w:val="525135D4"/>
    <w:rsid w:val="54FFAA53"/>
    <w:rsid w:val="55162E64"/>
    <w:rsid w:val="55DD1FD7"/>
    <w:rsid w:val="56BECFA4"/>
    <w:rsid w:val="5DFF9860"/>
    <w:rsid w:val="5E5F67CF"/>
    <w:rsid w:val="5E7ED30B"/>
    <w:rsid w:val="5F0E5849"/>
    <w:rsid w:val="5FD729DD"/>
    <w:rsid w:val="5FF1A997"/>
    <w:rsid w:val="5FF38264"/>
    <w:rsid w:val="5FF9D9A2"/>
    <w:rsid w:val="5FFD29B1"/>
    <w:rsid w:val="5FFF5719"/>
    <w:rsid w:val="63716EC6"/>
    <w:rsid w:val="642152E2"/>
    <w:rsid w:val="66562AFA"/>
    <w:rsid w:val="672D23E4"/>
    <w:rsid w:val="675158AD"/>
    <w:rsid w:val="68637725"/>
    <w:rsid w:val="69795E38"/>
    <w:rsid w:val="6ABEAD59"/>
    <w:rsid w:val="6B69000E"/>
    <w:rsid w:val="6B77B260"/>
    <w:rsid w:val="6BCB304A"/>
    <w:rsid w:val="6E616760"/>
    <w:rsid w:val="6EFDC130"/>
    <w:rsid w:val="6F7E9FD2"/>
    <w:rsid w:val="6FA81AD1"/>
    <w:rsid w:val="6FCB05A4"/>
    <w:rsid w:val="71AD25E7"/>
    <w:rsid w:val="71B4778D"/>
    <w:rsid w:val="723C0398"/>
    <w:rsid w:val="72DC5705"/>
    <w:rsid w:val="73F0461E"/>
    <w:rsid w:val="75D67D85"/>
    <w:rsid w:val="76151F8A"/>
    <w:rsid w:val="763B428B"/>
    <w:rsid w:val="76DBD909"/>
    <w:rsid w:val="77AE8543"/>
    <w:rsid w:val="77B76D4E"/>
    <w:rsid w:val="77EBEDC5"/>
    <w:rsid w:val="783A24FB"/>
    <w:rsid w:val="791D29BB"/>
    <w:rsid w:val="7A7FC264"/>
    <w:rsid w:val="7AFDD9A2"/>
    <w:rsid w:val="7B49A1F5"/>
    <w:rsid w:val="7B6F2545"/>
    <w:rsid w:val="7BAF350D"/>
    <w:rsid w:val="7BEFBB12"/>
    <w:rsid w:val="7CBF5D43"/>
    <w:rsid w:val="7CFBC9CE"/>
    <w:rsid w:val="7DA9B1C3"/>
    <w:rsid w:val="7DEF9CD5"/>
    <w:rsid w:val="7DFF28B6"/>
    <w:rsid w:val="7E0B01EB"/>
    <w:rsid w:val="7E582D05"/>
    <w:rsid w:val="7EC66E6D"/>
    <w:rsid w:val="7FBB8553"/>
    <w:rsid w:val="7FE91556"/>
    <w:rsid w:val="7FEF9B2F"/>
    <w:rsid w:val="7FF43756"/>
    <w:rsid w:val="7FFE1D4E"/>
    <w:rsid w:val="7FFFEF4C"/>
    <w:rsid w:val="8FEB5697"/>
    <w:rsid w:val="9E7D17A2"/>
    <w:rsid w:val="A3D4AE9A"/>
    <w:rsid w:val="A77F1C6A"/>
    <w:rsid w:val="AF77CAFC"/>
    <w:rsid w:val="AFD79E22"/>
    <w:rsid w:val="AFDFF4FD"/>
    <w:rsid w:val="B35C69E7"/>
    <w:rsid w:val="B3FF4157"/>
    <w:rsid w:val="B53F208B"/>
    <w:rsid w:val="B5BF8820"/>
    <w:rsid w:val="B79FFC42"/>
    <w:rsid w:val="BD3D1926"/>
    <w:rsid w:val="BF56FE8C"/>
    <w:rsid w:val="BF7D30E6"/>
    <w:rsid w:val="BFFFAC87"/>
    <w:rsid w:val="CDD6F552"/>
    <w:rsid w:val="CE7B310F"/>
    <w:rsid w:val="D73F758B"/>
    <w:rsid w:val="D9EF927D"/>
    <w:rsid w:val="DAF30C3A"/>
    <w:rsid w:val="DAFF5ABD"/>
    <w:rsid w:val="DD6F8F83"/>
    <w:rsid w:val="DD75A694"/>
    <w:rsid w:val="DDDFBC85"/>
    <w:rsid w:val="DE3D6876"/>
    <w:rsid w:val="DEF7FB5C"/>
    <w:rsid w:val="DF5C86C8"/>
    <w:rsid w:val="DFF0A724"/>
    <w:rsid w:val="DFFFAD1D"/>
    <w:rsid w:val="E6D71ED5"/>
    <w:rsid w:val="EA9DEDD1"/>
    <w:rsid w:val="EBFCAE59"/>
    <w:rsid w:val="EC7F8673"/>
    <w:rsid w:val="ECEB8A85"/>
    <w:rsid w:val="EFCBCD76"/>
    <w:rsid w:val="EFE75D81"/>
    <w:rsid w:val="EFFB9B5B"/>
    <w:rsid w:val="F1EEFEA5"/>
    <w:rsid w:val="F7F7AFE3"/>
    <w:rsid w:val="F8B730B7"/>
    <w:rsid w:val="FADE3EF6"/>
    <w:rsid w:val="FAFE9B88"/>
    <w:rsid w:val="FB6B97A0"/>
    <w:rsid w:val="FBF5C9C2"/>
    <w:rsid w:val="FBFBFBBA"/>
    <w:rsid w:val="FD788065"/>
    <w:rsid w:val="FD7A527B"/>
    <w:rsid w:val="FDDBC0F6"/>
    <w:rsid w:val="FDEBF61E"/>
    <w:rsid w:val="FDF59213"/>
    <w:rsid w:val="FEBBFCEF"/>
    <w:rsid w:val="FEE75FEC"/>
    <w:rsid w:val="FFAB5FD1"/>
    <w:rsid w:val="FFBB69DE"/>
    <w:rsid w:val="FFBF9A48"/>
    <w:rsid w:val="FFDFAFDD"/>
    <w:rsid w:val="FFE7FAAF"/>
    <w:rsid w:val="FFEB0326"/>
    <w:rsid w:val="FFF7732D"/>
    <w:rsid w:val="FFFB8126"/>
    <w:rsid w:val="FFFB86BC"/>
    <w:rsid w:val="FFFFA287"/>
    <w:rsid w:val="FFFFF66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style>
  <w:style w:type="character" w:customStyle="1" w:styleId="8">
    <w:name w:val="页脚 Char"/>
    <w:link w:val="3"/>
    <w:qFormat/>
    <w:uiPriority w:val="99"/>
    <w:rPr>
      <w:rFonts w:eastAsia="宋体"/>
      <w:kern w:val="2"/>
      <w:sz w:val="18"/>
      <w:szCs w:val="18"/>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16</Pages>
  <Words>5952</Words>
  <Characters>6640</Characters>
  <Lines>42</Lines>
  <Paragraphs>11</Paragraphs>
  <TotalTime>932</TotalTime>
  <ScaleCrop>false</ScaleCrop>
  <LinksUpToDate>false</LinksUpToDate>
  <CharactersWithSpaces>6660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2018-07-31T23:54:00Z</dcterms:created>
  <dc:creator>莫先孔</dc:creator>
  <cp:lastModifiedBy>WPS_1508547038</cp:lastModifiedBy>
  <cp:lastPrinted>2025-08-11T03:49:00Z</cp:lastPrinted>
  <dcterms:modified xsi:type="dcterms:W3CDTF">2026-09-21T09:43:41Z</dcterms:modified>
  <dc:title>附件：（部门决算公开格式）</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1770BAA5665E48CDB08A49699D0E8A65_13</vt:lpwstr>
  </property>
  <property fmtid="{D5CDD505-2E9C-101B-9397-08002B2CF9AE}" pid="4" name="KSOTemplateDocerSaveRecord">
    <vt:lpwstr>eyJoZGlkIjoiNWM1ZWFlZjUzNTU3ZmY2Y2E2OWYwZTQ4YmYyZmM1MTIiLCJ1c2VySWQiOiIzMTUyNzEyODQifQ==</vt:lpwstr>
  </property>
</Properties>
</file>