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A95D">
      <w:pPr>
        <w:numPr>
          <w:ilvl w:val="0"/>
          <w:numId w:val="0"/>
        </w:numPr>
        <w:ind w:firstLine="420"/>
        <w:rPr>
          <w:rFonts w:hint="default"/>
          <w:sz w:val="24"/>
          <w:szCs w:val="24"/>
          <w:lang w:val="en-US" w:eastAsia="zh-CN"/>
        </w:rPr>
      </w:pPr>
    </w:p>
    <w:p w14:paraId="70D5CE68">
      <w:pPr>
        <w:numPr>
          <w:ilvl w:val="0"/>
          <w:numId w:val="0"/>
        </w:numPr>
        <w:rPr>
          <w:rFonts w:hint="default"/>
          <w:sz w:val="24"/>
          <w:szCs w:val="24"/>
          <w:lang w:eastAsia="zh-CN"/>
        </w:rPr>
      </w:pPr>
      <w:r>
        <w:rPr>
          <w:rFonts w:hint="default"/>
          <w:sz w:val="24"/>
          <w:szCs w:val="24"/>
          <w:lang w:eastAsia="zh-CN"/>
        </w:rPr>
        <w:t>附件1</w:t>
      </w:r>
    </w:p>
    <w:p w14:paraId="7F31BD4D">
      <w:pPr>
        <w:numPr>
          <w:ilvl w:val="0"/>
          <w:numId w:val="0"/>
        </w:numPr>
        <w:ind w:firstLine="420"/>
        <w:rPr>
          <w:rFonts w:hint="default"/>
          <w:sz w:val="24"/>
          <w:szCs w:val="24"/>
          <w:lang w:eastAsia="zh-CN"/>
        </w:rPr>
      </w:pPr>
    </w:p>
    <w:p w14:paraId="37839DE6">
      <w:pPr>
        <w:spacing w:after="0" w:line="36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sz w:val="36"/>
          <w:szCs w:val="36"/>
        </w:rPr>
        <w:t>项目需求表</w:t>
      </w:r>
    </w:p>
    <w:p w14:paraId="39C7B17E">
      <w:pPr>
        <w:spacing w:line="260" w:lineRule="exact"/>
        <w:rPr>
          <w:rFonts w:hint="eastAsia" w:ascii="宋体" w:hAnsi="宋体"/>
          <w:b/>
          <w:color w:val="000000"/>
          <w:sz w:val="24"/>
        </w:rPr>
      </w:pPr>
    </w:p>
    <w:tbl>
      <w:tblPr>
        <w:tblStyle w:val="4"/>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1"/>
        <w:gridCol w:w="1767"/>
        <w:gridCol w:w="4878"/>
        <w:gridCol w:w="1366"/>
      </w:tblGrid>
      <w:tr w14:paraId="479EE3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1B718343">
            <w:pPr>
              <w:keepNext w:val="0"/>
              <w:keepLines w:val="0"/>
              <w:suppressLineNumbers w:val="0"/>
              <w:spacing w:before="0" w:beforeAutospacing="0" w:after="0" w:afterAutospacing="0" w:line="260" w:lineRule="exact"/>
              <w:ind w:left="0" w:right="0"/>
              <w:jc w:val="left"/>
              <w:rPr>
                <w:rFonts w:hint="eastAsia" w:ascii="宋体" w:hAnsi="宋体"/>
                <w:b/>
                <w:color w:val="000000"/>
                <w:szCs w:val="21"/>
              </w:rPr>
            </w:pPr>
            <w:r>
              <w:rPr>
                <w:rFonts w:hint="eastAsia" w:ascii="宋体" w:hAnsi="宋体"/>
                <w:b/>
                <w:color w:val="000000"/>
                <w:szCs w:val="21"/>
              </w:rPr>
              <w:t>（一）项目要求及技术需求</w:t>
            </w:r>
          </w:p>
        </w:tc>
      </w:tr>
      <w:tr w14:paraId="78D92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00" w:type="pct"/>
            <w:tcBorders>
              <w:top w:val="single" w:color="auto" w:sz="4" w:space="0"/>
              <w:left w:val="single" w:color="auto" w:sz="4" w:space="0"/>
              <w:bottom w:val="single" w:color="auto" w:sz="4" w:space="0"/>
              <w:right w:val="single" w:color="auto" w:sz="4" w:space="0"/>
            </w:tcBorders>
            <w:noWrap w:val="0"/>
            <w:vAlign w:val="center"/>
          </w:tcPr>
          <w:p w14:paraId="2FB71BC9">
            <w:pPr>
              <w:keepNext w:val="0"/>
              <w:keepLines w:val="0"/>
              <w:suppressLineNumbers w:val="0"/>
              <w:spacing w:before="0" w:beforeAutospacing="0" w:after="0" w:afterAutospacing="0" w:line="260" w:lineRule="exact"/>
              <w:ind w:left="0" w:right="0"/>
              <w:jc w:val="center"/>
              <w:rPr>
                <w:rFonts w:hint="eastAsia" w:ascii="宋体" w:hAnsi="宋体" w:eastAsia="宋体"/>
                <w:color w:val="000000"/>
                <w:szCs w:val="21"/>
                <w:lang w:eastAsia="zh-CN"/>
              </w:rPr>
            </w:pPr>
            <w:r>
              <w:rPr>
                <w:rFonts w:hint="eastAsia" w:ascii="宋体" w:hAnsi="宋体"/>
                <w:color w:val="000000"/>
                <w:szCs w:val="21"/>
                <w:lang w:val="en-US" w:eastAsia="zh-CN"/>
              </w:rPr>
              <w:t>序号</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0F7FA91F">
            <w:pPr>
              <w:keepNext w:val="0"/>
              <w:keepLines w:val="0"/>
              <w:suppressLineNumbers w:val="0"/>
              <w:spacing w:before="0" w:beforeAutospacing="0" w:after="0" w:afterAutospacing="0" w:line="260" w:lineRule="exact"/>
              <w:ind w:left="0" w:right="0"/>
              <w:jc w:val="center"/>
              <w:rPr>
                <w:rFonts w:hint="default" w:ascii="宋体" w:hAnsi="宋体"/>
                <w:color w:val="000000"/>
                <w:szCs w:val="21"/>
              </w:rPr>
            </w:pPr>
            <w:r>
              <w:rPr>
                <w:rFonts w:hint="eastAsia" w:ascii="宋体" w:hAnsi="宋体"/>
                <w:color w:val="000000"/>
                <w:szCs w:val="21"/>
              </w:rPr>
              <w:t>货物名称</w:t>
            </w:r>
          </w:p>
        </w:tc>
        <w:tc>
          <w:tcPr>
            <w:tcW w:w="2862" w:type="pct"/>
            <w:tcBorders>
              <w:top w:val="single" w:color="auto" w:sz="4" w:space="0"/>
              <w:left w:val="single" w:color="auto" w:sz="4" w:space="0"/>
              <w:bottom w:val="single" w:color="auto" w:sz="4" w:space="0"/>
              <w:right w:val="single" w:color="auto" w:sz="4" w:space="0"/>
            </w:tcBorders>
            <w:noWrap w:val="0"/>
            <w:vAlign w:val="center"/>
          </w:tcPr>
          <w:p w14:paraId="03D9CA4A">
            <w:pPr>
              <w:keepNext w:val="0"/>
              <w:keepLines w:val="0"/>
              <w:suppressLineNumbers w:val="0"/>
              <w:spacing w:before="0" w:beforeAutospacing="0" w:after="0" w:afterAutospacing="0" w:line="260" w:lineRule="exact"/>
              <w:ind w:left="0" w:right="0"/>
              <w:jc w:val="center"/>
              <w:rPr>
                <w:rFonts w:hint="eastAsia" w:ascii="宋体" w:hAnsi="宋体"/>
                <w:color w:val="000000"/>
                <w:kern w:val="2"/>
                <w:sz w:val="21"/>
                <w:szCs w:val="21"/>
                <w:lang w:val="en-US" w:eastAsia="zh-CN" w:bidi="ar-SA"/>
              </w:rPr>
            </w:pPr>
            <w:r>
              <w:rPr>
                <w:rFonts w:hint="eastAsia" w:ascii="宋体" w:hAnsi="宋体"/>
                <w:b/>
                <w:color w:val="000000"/>
                <w:szCs w:val="21"/>
              </w:rPr>
              <w:t>▲</w:t>
            </w:r>
            <w:r>
              <w:rPr>
                <w:rFonts w:hint="eastAsia" w:ascii="宋体" w:hAnsi="宋体"/>
                <w:color w:val="000000"/>
                <w:szCs w:val="21"/>
              </w:rPr>
              <w:t>功能目标及技术指标</w:t>
            </w:r>
          </w:p>
        </w:tc>
        <w:tc>
          <w:tcPr>
            <w:tcW w:w="800" w:type="pct"/>
            <w:tcBorders>
              <w:top w:val="single" w:color="auto" w:sz="4" w:space="0"/>
              <w:left w:val="single" w:color="auto" w:sz="4" w:space="0"/>
              <w:bottom w:val="single" w:color="auto" w:sz="4" w:space="0"/>
              <w:right w:val="single" w:color="auto" w:sz="4" w:space="0"/>
            </w:tcBorders>
            <w:noWrap w:val="0"/>
            <w:vAlign w:val="center"/>
          </w:tcPr>
          <w:p w14:paraId="11225212">
            <w:pPr>
              <w:keepNext w:val="0"/>
              <w:keepLines w:val="0"/>
              <w:suppressLineNumbers w:val="0"/>
              <w:spacing w:before="0" w:beforeAutospacing="0" w:after="0" w:afterAutospacing="0" w:line="260" w:lineRule="exact"/>
              <w:ind w:left="0" w:right="0"/>
              <w:jc w:val="center"/>
              <w:rPr>
                <w:rFonts w:hint="eastAsia" w:ascii="宋体" w:hAnsi="宋体"/>
                <w:color w:val="000000"/>
                <w:szCs w:val="21"/>
              </w:rPr>
            </w:pPr>
            <w:r>
              <w:rPr>
                <w:rFonts w:hint="eastAsia" w:ascii="宋体" w:hAnsi="宋体"/>
                <w:color w:val="000000"/>
                <w:szCs w:val="21"/>
              </w:rPr>
              <w:t>数量</w:t>
            </w:r>
          </w:p>
        </w:tc>
      </w:tr>
      <w:tr w14:paraId="2CFDB1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7" w:hRule="atLeast"/>
        </w:trPr>
        <w:tc>
          <w:tcPr>
            <w:tcW w:w="300" w:type="pct"/>
            <w:tcBorders>
              <w:top w:val="single" w:color="auto" w:sz="4" w:space="0"/>
              <w:left w:val="single" w:color="auto" w:sz="4" w:space="0"/>
              <w:bottom w:val="single" w:color="auto" w:sz="4" w:space="0"/>
              <w:right w:val="single" w:color="auto" w:sz="4" w:space="0"/>
            </w:tcBorders>
            <w:noWrap w:val="0"/>
            <w:vAlign w:val="center"/>
          </w:tcPr>
          <w:p w14:paraId="2B0A2D24">
            <w:pPr>
              <w:keepNext w:val="0"/>
              <w:keepLines w:val="0"/>
              <w:suppressLineNumbers w:val="0"/>
              <w:spacing w:before="0" w:beforeAutospacing="0" w:after="0" w:afterAutospacing="0" w:line="260" w:lineRule="exact"/>
              <w:ind w:left="0" w:right="0"/>
              <w:jc w:val="center"/>
              <w:rPr>
                <w:rFonts w:hint="default" w:ascii="宋体" w:hAnsi="宋体"/>
                <w:szCs w:val="21"/>
              </w:rPr>
            </w:pPr>
            <w:r>
              <w:rPr>
                <w:rFonts w:hint="eastAsia" w:ascii="宋体" w:hAnsi="宋体"/>
                <w:szCs w:val="21"/>
              </w:rPr>
              <w:t>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B468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cs="宋体"/>
                <w:b/>
                <w:bCs/>
                <w:kern w:val="0"/>
                <w:szCs w:val="21"/>
              </w:rPr>
            </w:pPr>
            <w:r>
              <w:rPr>
                <w:rFonts w:hint="eastAsia" w:ascii="宋体" w:hAnsi="宋体" w:cs="宋体"/>
                <w:szCs w:val="21"/>
              </w:rPr>
              <w:t>明胶空心胶囊</w:t>
            </w:r>
          </w:p>
        </w:tc>
        <w:tc>
          <w:tcPr>
            <w:tcW w:w="2862" w:type="pct"/>
            <w:tcBorders>
              <w:top w:val="single" w:color="auto" w:sz="4" w:space="0"/>
              <w:left w:val="single" w:color="auto" w:sz="4" w:space="0"/>
              <w:bottom w:val="single" w:color="auto" w:sz="4" w:space="0"/>
              <w:right w:val="single" w:color="auto" w:sz="4" w:space="0"/>
            </w:tcBorders>
            <w:noWrap w:val="0"/>
            <w:vAlign w:val="center"/>
          </w:tcPr>
          <w:p w14:paraId="3EA36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宋体" w:hAnsi="宋体" w:cs="Calibri"/>
                <w:szCs w:val="21"/>
                <w:vertAlign w:val="superscript"/>
              </w:rPr>
            </w:pPr>
            <w:r>
              <w:rPr>
                <w:rFonts w:hint="eastAsia" w:ascii="宋体" w:hAnsi="宋体"/>
                <w:szCs w:val="21"/>
              </w:rPr>
              <w:t>1、型号：</w:t>
            </w:r>
            <w:r>
              <w:rPr>
                <w:rFonts w:hint="eastAsia" w:ascii="宋体" w:hAnsi="宋体" w:cs="宋体"/>
                <w:color w:val="000000"/>
                <w:kern w:val="0"/>
                <w:szCs w:val="21"/>
                <w:lang w:bidi="ar"/>
              </w:rPr>
              <w:t>1</w:t>
            </w:r>
            <w:r>
              <w:rPr>
                <w:rFonts w:hint="default" w:ascii="宋体" w:hAnsi="宋体" w:cs="宋体"/>
                <w:color w:val="000000"/>
                <w:kern w:val="0"/>
                <w:szCs w:val="21"/>
                <w:lang w:bidi="ar"/>
              </w:rPr>
              <w:t>#</w:t>
            </w:r>
          </w:p>
          <w:p w14:paraId="12EEF0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宋体" w:hAnsi="宋体" w:cs="Calibri"/>
                <w:szCs w:val="21"/>
              </w:rPr>
            </w:pPr>
            <w:r>
              <w:rPr>
                <w:rFonts w:hint="eastAsia" w:ascii="宋体" w:hAnsi="宋体" w:cs="Calibri"/>
                <w:szCs w:val="21"/>
              </w:rPr>
              <w:t>2、帽颜色名称：标准红</w:t>
            </w:r>
          </w:p>
          <w:p w14:paraId="085EFF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宋体" w:hAnsi="宋体" w:cs="Calibri"/>
                <w:color w:val="000000"/>
                <w:szCs w:val="21"/>
              </w:rPr>
            </w:pPr>
            <w:r>
              <w:rPr>
                <w:rFonts w:hint="eastAsia" w:ascii="宋体" w:hAnsi="宋体" w:cs="Calibri"/>
                <w:szCs w:val="21"/>
              </w:rPr>
              <w:t>3、</w:t>
            </w:r>
            <w:r>
              <w:rPr>
                <w:rFonts w:hint="eastAsia" w:ascii="宋体" w:hAnsi="宋体" w:cs="Calibri"/>
                <w:color w:val="000000"/>
                <w:szCs w:val="21"/>
              </w:rPr>
              <w:t>体颜色名称：标准黄</w:t>
            </w:r>
          </w:p>
          <w:p w14:paraId="67B434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宋体" w:hAnsi="宋体" w:cs="Calibri"/>
                <w:color w:val="000000"/>
                <w:szCs w:val="21"/>
              </w:rPr>
            </w:pPr>
            <w:r>
              <w:rPr>
                <w:rFonts w:hint="eastAsia" w:ascii="宋体" w:hAnsi="宋体" w:cs="Calibri"/>
                <w:color w:val="000000"/>
                <w:szCs w:val="21"/>
              </w:rPr>
              <w:t>4、干燥失重：13.0%</w:t>
            </w:r>
            <w:r>
              <w:rPr>
                <w:rFonts w:hint="eastAsia" w:ascii="宋体" w:hAnsi="宋体" w:cs="宋体"/>
                <w:color w:val="000000"/>
                <w:szCs w:val="21"/>
              </w:rPr>
              <w:t>～</w:t>
            </w:r>
            <w:r>
              <w:rPr>
                <w:rFonts w:hint="eastAsia" w:ascii="宋体" w:hAnsi="宋体" w:cs="Calibri"/>
                <w:color w:val="000000"/>
                <w:szCs w:val="21"/>
              </w:rPr>
              <w:t>17.5%</w:t>
            </w:r>
          </w:p>
          <w:p w14:paraId="1746D7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宋体" w:hAnsi="宋体" w:cs="Calibri"/>
                <w:color w:val="000000"/>
                <w:szCs w:val="21"/>
              </w:rPr>
            </w:pPr>
            <w:r>
              <w:rPr>
                <w:rFonts w:hint="eastAsia" w:ascii="宋体" w:hAnsi="宋体" w:cs="Calibri"/>
                <w:color w:val="000000"/>
                <w:szCs w:val="21"/>
              </w:rPr>
              <w:t>5、崩解时限：</w:t>
            </w:r>
            <w:r>
              <w:rPr>
                <w:rFonts w:hint="eastAsia" w:ascii="宋体" w:hAnsi="宋体" w:cs="宋体"/>
                <w:color w:val="000000"/>
                <w:szCs w:val="21"/>
              </w:rPr>
              <w:t>≤10min</w:t>
            </w:r>
          </w:p>
          <w:p w14:paraId="45D510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宋体" w:hAnsi="宋体" w:cs="宋体"/>
                <w:color w:val="000000"/>
                <w:szCs w:val="21"/>
              </w:rPr>
            </w:pPr>
            <w:r>
              <w:rPr>
                <w:rFonts w:hint="eastAsia" w:ascii="宋体" w:hAnsi="宋体" w:cs="宋体"/>
                <w:color w:val="000000"/>
                <w:szCs w:val="21"/>
              </w:rPr>
              <w:t>6、炽灼残渣：≤5%</w:t>
            </w:r>
          </w:p>
          <w:p w14:paraId="35FF38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default" w:ascii="宋体" w:hAnsi="宋体" w:cs="宋体"/>
                <w:color w:val="000000"/>
                <w:szCs w:val="21"/>
              </w:rPr>
            </w:pPr>
            <w:r>
              <w:rPr>
                <w:rFonts w:hint="eastAsia" w:ascii="宋体" w:hAnsi="宋体" w:cs="宋体"/>
                <w:color w:val="000000"/>
                <w:szCs w:val="21"/>
              </w:rPr>
              <w:t>7、黏度：≥60mm</w:t>
            </w:r>
            <w:r>
              <w:rPr>
                <w:rFonts w:hint="eastAsia" w:ascii="宋体" w:hAnsi="宋体" w:cs="宋体"/>
                <w:color w:val="000000"/>
                <w:szCs w:val="21"/>
                <w:vertAlign w:val="superscript"/>
              </w:rPr>
              <w:t>2</w:t>
            </w:r>
            <w:r>
              <w:rPr>
                <w:rFonts w:hint="eastAsia" w:ascii="宋体" w:hAnsi="宋体" w:cs="宋体"/>
                <w:color w:val="000000"/>
                <w:szCs w:val="21"/>
              </w:rPr>
              <w:t>/ｓ</w:t>
            </w:r>
          </w:p>
          <w:p w14:paraId="0533E7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宋体" w:hAnsi="宋体" w:cs="宋体"/>
                <w:color w:val="000000"/>
                <w:szCs w:val="21"/>
              </w:rPr>
            </w:pPr>
            <w:r>
              <w:rPr>
                <w:rFonts w:hint="eastAsia" w:ascii="宋体" w:hAnsi="宋体" w:cs="宋体"/>
                <w:color w:val="000000"/>
                <w:szCs w:val="21"/>
              </w:rPr>
              <w:t>8、重金属：≤40ppm</w:t>
            </w:r>
          </w:p>
          <w:p w14:paraId="460643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宋体" w:hAnsi="宋体" w:cs="宋体"/>
                <w:color w:val="000000"/>
                <w:szCs w:val="21"/>
              </w:rPr>
            </w:pPr>
            <w:r>
              <w:rPr>
                <w:rFonts w:hint="eastAsia" w:ascii="宋体" w:hAnsi="宋体" w:cs="宋体"/>
                <w:color w:val="000000"/>
                <w:szCs w:val="21"/>
              </w:rPr>
              <w:t xml:space="preserve">9、铬：≤2ppm </w:t>
            </w:r>
          </w:p>
          <w:p w14:paraId="22AC54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left"/>
              <w:rPr>
                <w:rFonts w:hint="eastAsia" w:ascii="宋体" w:hAnsi="宋体" w:cs="宋体"/>
                <w:color w:val="FF0000"/>
                <w:kern w:val="2"/>
                <w:sz w:val="21"/>
                <w:szCs w:val="21"/>
                <w:lang w:val="en-US" w:eastAsia="zh-CN" w:bidi="ar-SA"/>
              </w:rPr>
            </w:pPr>
            <w:r>
              <w:rPr>
                <w:rFonts w:hint="eastAsia" w:ascii="宋体" w:hAnsi="宋体" w:cs="宋体"/>
                <w:color w:val="000000"/>
                <w:szCs w:val="21"/>
              </w:rPr>
              <w:t>10、符合2020版《中国药典》中“明胶空心胶囊”相关要求。</w:t>
            </w:r>
          </w:p>
        </w:tc>
        <w:tc>
          <w:tcPr>
            <w:tcW w:w="800" w:type="pct"/>
            <w:tcBorders>
              <w:top w:val="single" w:color="auto" w:sz="4" w:space="0"/>
              <w:left w:val="single" w:color="auto" w:sz="4" w:space="0"/>
              <w:bottom w:val="single" w:color="auto" w:sz="4" w:space="0"/>
              <w:right w:val="single" w:color="auto" w:sz="4" w:space="0"/>
            </w:tcBorders>
            <w:noWrap w:val="0"/>
            <w:vAlign w:val="center"/>
          </w:tcPr>
          <w:p w14:paraId="0322F780">
            <w:pPr>
              <w:keepNext w:val="0"/>
              <w:keepLines w:val="0"/>
              <w:suppressLineNumbers w:val="0"/>
              <w:spacing w:before="0" w:beforeAutospacing="0" w:after="0" w:afterAutospacing="0" w:line="260" w:lineRule="exact"/>
              <w:ind w:left="0" w:right="0"/>
              <w:jc w:val="center"/>
              <w:rPr>
                <w:rFonts w:hint="eastAsia" w:ascii="宋体" w:hAnsi="宋体" w:cs="宋体"/>
                <w:szCs w:val="21"/>
              </w:rPr>
            </w:pPr>
            <w:r>
              <w:rPr>
                <w:rFonts w:hint="eastAsia" w:ascii="宋体" w:hAnsi="宋体" w:cs="宋体"/>
                <w:color w:val="000000"/>
                <w:kern w:val="0"/>
                <w:szCs w:val="21"/>
                <w:lang w:val="en-US" w:eastAsia="zh-CN" w:bidi="ar"/>
              </w:rPr>
              <w:t>130</w:t>
            </w:r>
            <w:r>
              <w:rPr>
                <w:rFonts w:hint="eastAsia" w:ascii="宋体" w:hAnsi="宋体" w:cs="宋体"/>
                <w:color w:val="000000"/>
                <w:kern w:val="0"/>
                <w:szCs w:val="21"/>
                <w:lang w:bidi="ar"/>
              </w:rPr>
              <w:t>0万粒</w:t>
            </w:r>
          </w:p>
        </w:tc>
      </w:tr>
      <w:tr w14:paraId="402EC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A0F01C3">
            <w:pPr>
              <w:keepNext w:val="0"/>
              <w:keepLines w:val="0"/>
              <w:suppressLineNumbers w:val="0"/>
              <w:spacing w:before="0" w:beforeAutospacing="0" w:after="0" w:afterAutospacing="0" w:line="260" w:lineRule="exact"/>
              <w:ind w:left="0" w:right="0"/>
              <w:jc w:val="left"/>
              <w:rPr>
                <w:rFonts w:hint="eastAsia" w:ascii="宋体" w:hAnsi="宋体"/>
                <w:b/>
                <w:szCs w:val="21"/>
              </w:rPr>
            </w:pPr>
            <w:r>
              <w:rPr>
                <w:rFonts w:hint="eastAsia" w:ascii="宋体" w:hAnsi="宋体"/>
                <w:b/>
                <w:szCs w:val="21"/>
              </w:rPr>
              <w:t>▲二、商务要求</w:t>
            </w:r>
          </w:p>
        </w:tc>
      </w:tr>
      <w:tr w14:paraId="0013B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337" w:type="pct"/>
            <w:gridSpan w:val="2"/>
            <w:tcBorders>
              <w:top w:val="single" w:color="auto" w:sz="4" w:space="0"/>
              <w:left w:val="single" w:color="auto" w:sz="4" w:space="0"/>
              <w:bottom w:val="single" w:color="auto" w:sz="4" w:space="0"/>
              <w:right w:val="single" w:color="auto" w:sz="4" w:space="0"/>
            </w:tcBorders>
            <w:noWrap w:val="0"/>
            <w:vAlign w:val="center"/>
          </w:tcPr>
          <w:p w14:paraId="25981F62">
            <w:pPr>
              <w:keepNext w:val="0"/>
              <w:keepLines w:val="0"/>
              <w:suppressLineNumbers w:val="0"/>
              <w:spacing w:before="0" w:beforeAutospacing="0" w:after="0" w:afterAutospacing="0" w:line="260" w:lineRule="exact"/>
              <w:ind w:left="0" w:right="0"/>
              <w:jc w:val="center"/>
              <w:rPr>
                <w:rFonts w:hint="eastAsia" w:ascii="宋体" w:hAnsi="宋体" w:eastAsia="宋体"/>
                <w:szCs w:val="21"/>
                <w:lang w:val="en-US" w:eastAsia="zh-CN"/>
              </w:rPr>
            </w:pPr>
            <w:r>
              <w:rPr>
                <w:rFonts w:hint="eastAsia" w:ascii="宋体" w:hAnsi="宋体"/>
                <w:szCs w:val="21"/>
                <w:lang w:val="en-US" w:eastAsia="zh-CN"/>
              </w:rPr>
              <w:t>服务期</w:t>
            </w:r>
          </w:p>
        </w:tc>
        <w:tc>
          <w:tcPr>
            <w:tcW w:w="3662" w:type="pct"/>
            <w:gridSpan w:val="2"/>
            <w:tcBorders>
              <w:top w:val="single" w:color="auto" w:sz="4" w:space="0"/>
              <w:left w:val="single" w:color="auto" w:sz="4" w:space="0"/>
              <w:bottom w:val="single" w:color="auto" w:sz="4" w:space="0"/>
              <w:right w:val="single" w:color="auto" w:sz="4" w:space="0"/>
            </w:tcBorders>
            <w:noWrap w:val="0"/>
            <w:vAlign w:val="center"/>
          </w:tcPr>
          <w:p w14:paraId="7EC4C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宋体" w:hAnsi="宋体" w:eastAsia="宋体" w:cs="Times New Roman"/>
                <w:b w:val="0"/>
                <w:bCs/>
                <w:color w:val="000000"/>
                <w:szCs w:val="21"/>
                <w:highlight w:val="none"/>
                <w:lang w:val="en-US" w:eastAsia="zh-CN"/>
              </w:rPr>
            </w:pPr>
            <w:r>
              <w:rPr>
                <w:rFonts w:hint="eastAsia" w:ascii="宋体" w:hAnsi="宋体" w:eastAsia="宋体" w:cs="Times New Roman"/>
                <w:b w:val="0"/>
                <w:bCs/>
                <w:color w:val="000000"/>
                <w:szCs w:val="21"/>
                <w:highlight w:val="none"/>
                <w:lang w:val="en-US" w:eastAsia="zh-CN"/>
              </w:rPr>
              <w:t>2年</w:t>
            </w:r>
          </w:p>
        </w:tc>
      </w:tr>
      <w:tr w14:paraId="29ADC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1" w:hRule="atLeast"/>
        </w:trPr>
        <w:tc>
          <w:tcPr>
            <w:tcW w:w="1337" w:type="pct"/>
            <w:gridSpan w:val="2"/>
            <w:tcBorders>
              <w:top w:val="single" w:color="auto" w:sz="4" w:space="0"/>
              <w:left w:val="single" w:color="auto" w:sz="4" w:space="0"/>
              <w:bottom w:val="single" w:color="auto" w:sz="4" w:space="0"/>
              <w:right w:val="single" w:color="auto" w:sz="4" w:space="0"/>
            </w:tcBorders>
            <w:noWrap w:val="0"/>
            <w:vAlign w:val="center"/>
          </w:tcPr>
          <w:p w14:paraId="4686AFBA">
            <w:pPr>
              <w:keepNext w:val="0"/>
              <w:keepLines w:val="0"/>
              <w:suppressLineNumbers w:val="0"/>
              <w:spacing w:before="0" w:beforeAutospacing="0" w:after="0" w:afterAutospacing="0" w:line="260" w:lineRule="exact"/>
              <w:ind w:left="0" w:right="0"/>
              <w:jc w:val="center"/>
              <w:rPr>
                <w:rFonts w:hint="eastAsia" w:ascii="宋体" w:hAnsi="宋体"/>
                <w:szCs w:val="21"/>
              </w:rPr>
            </w:pPr>
            <w:r>
              <w:rPr>
                <w:rFonts w:hint="eastAsia" w:ascii="宋体" w:hAnsi="宋体"/>
                <w:szCs w:val="21"/>
              </w:rPr>
              <w:t>服务要求</w:t>
            </w:r>
          </w:p>
        </w:tc>
        <w:tc>
          <w:tcPr>
            <w:tcW w:w="3662" w:type="pct"/>
            <w:gridSpan w:val="2"/>
            <w:tcBorders>
              <w:top w:val="single" w:color="auto" w:sz="4" w:space="0"/>
              <w:left w:val="single" w:color="auto" w:sz="4" w:space="0"/>
              <w:bottom w:val="single" w:color="auto" w:sz="4" w:space="0"/>
              <w:right w:val="single" w:color="auto" w:sz="4" w:space="0"/>
            </w:tcBorders>
            <w:noWrap w:val="0"/>
            <w:vAlign w:val="center"/>
          </w:tcPr>
          <w:p w14:paraId="44706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lang w:eastAsia="zh-CN"/>
              </w:rPr>
            </w:pPr>
            <w:r>
              <w:rPr>
                <w:rFonts w:hint="eastAsia" w:ascii="宋体" w:hAnsi="宋体" w:eastAsia="宋体" w:cs="Times New Roman"/>
                <w:b w:val="0"/>
                <w:bCs/>
                <w:color w:val="000000"/>
                <w:szCs w:val="21"/>
                <w:highlight w:val="none"/>
              </w:rPr>
              <w:t>1、所提供明胶空心胶囊必须符合2020年版中国药典标准，“明胶空心胶囊使用有效期从到货之日起算不少于2年”</w:t>
            </w:r>
            <w:r>
              <w:rPr>
                <w:rFonts w:hint="eastAsia" w:ascii="宋体" w:hAnsi="宋体" w:eastAsia="宋体" w:cs="Times New Roman"/>
                <w:b w:val="0"/>
                <w:bCs/>
                <w:color w:val="000000"/>
                <w:szCs w:val="21"/>
                <w:highlight w:val="none"/>
                <w:lang w:eastAsia="zh-CN"/>
              </w:rPr>
              <w:t>；</w:t>
            </w:r>
          </w:p>
          <w:p w14:paraId="0BCBB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lang w:eastAsia="zh-CN"/>
              </w:rPr>
            </w:pPr>
            <w:r>
              <w:rPr>
                <w:rFonts w:hint="eastAsia" w:ascii="宋体" w:hAnsi="宋体" w:eastAsia="宋体" w:cs="Times New Roman"/>
                <w:b w:val="0"/>
                <w:bCs/>
                <w:color w:val="000000"/>
                <w:szCs w:val="21"/>
                <w:highlight w:val="none"/>
                <w:lang w:val="en-US" w:eastAsia="zh-CN"/>
              </w:rPr>
              <w:t>2</w:t>
            </w:r>
            <w:r>
              <w:rPr>
                <w:rFonts w:hint="eastAsia" w:ascii="宋体" w:hAnsi="宋体" w:eastAsia="宋体" w:cs="Times New Roman"/>
                <w:b w:val="0"/>
                <w:bCs/>
                <w:color w:val="000000"/>
                <w:szCs w:val="21"/>
                <w:highlight w:val="none"/>
              </w:rPr>
              <w:t>、提供的“明胶空心胶囊”生产日期应在从到货之日起算到之前的6个月范围之内</w:t>
            </w:r>
            <w:r>
              <w:rPr>
                <w:rFonts w:hint="eastAsia" w:ascii="宋体" w:hAnsi="宋体" w:eastAsia="宋体" w:cs="Times New Roman"/>
                <w:b w:val="0"/>
                <w:bCs/>
                <w:color w:val="000000"/>
                <w:szCs w:val="21"/>
                <w:highlight w:val="none"/>
                <w:lang w:eastAsia="zh-CN"/>
              </w:rPr>
              <w:t>；</w:t>
            </w:r>
          </w:p>
          <w:p w14:paraId="40D9A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lang w:val="en-US" w:eastAsia="zh-CN"/>
              </w:rPr>
              <w:t>3</w:t>
            </w:r>
            <w:r>
              <w:rPr>
                <w:rFonts w:hint="eastAsia" w:ascii="宋体" w:hAnsi="宋体" w:eastAsia="宋体" w:cs="Times New Roman"/>
                <w:b w:val="0"/>
                <w:bCs/>
                <w:color w:val="000000"/>
                <w:szCs w:val="21"/>
                <w:highlight w:val="none"/>
              </w:rPr>
              <w:t>、提供的包装应符合货物运输要求和相关质量管理规定，供应商违反规定运输明胶空心胶囊造成质量责任及损失由供应商负责。</w:t>
            </w:r>
          </w:p>
        </w:tc>
      </w:tr>
      <w:tr w14:paraId="605164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337" w:type="pct"/>
            <w:gridSpan w:val="2"/>
            <w:tcBorders>
              <w:top w:val="single" w:color="auto" w:sz="4" w:space="0"/>
              <w:left w:val="single" w:color="auto" w:sz="4" w:space="0"/>
              <w:bottom w:val="single" w:color="auto" w:sz="4" w:space="0"/>
              <w:right w:val="single" w:color="auto" w:sz="4" w:space="0"/>
            </w:tcBorders>
            <w:noWrap w:val="0"/>
            <w:vAlign w:val="center"/>
          </w:tcPr>
          <w:p w14:paraId="597055AB">
            <w:pPr>
              <w:keepNext w:val="0"/>
              <w:keepLines w:val="0"/>
              <w:suppressLineNumbers w:val="0"/>
              <w:spacing w:before="0" w:beforeAutospacing="0" w:after="0" w:afterAutospacing="0" w:line="260" w:lineRule="exact"/>
              <w:ind w:left="0" w:right="0"/>
              <w:jc w:val="center"/>
              <w:rPr>
                <w:rFonts w:hint="eastAsia" w:ascii="宋体" w:hAnsi="宋体"/>
                <w:szCs w:val="21"/>
              </w:rPr>
            </w:pPr>
            <w:r>
              <w:rPr>
                <w:rFonts w:hint="eastAsia" w:ascii="宋体" w:hAnsi="宋体"/>
                <w:szCs w:val="21"/>
              </w:rPr>
              <w:t>交货时间及地点</w:t>
            </w:r>
          </w:p>
        </w:tc>
        <w:tc>
          <w:tcPr>
            <w:tcW w:w="3662" w:type="pct"/>
            <w:gridSpan w:val="2"/>
            <w:tcBorders>
              <w:top w:val="single" w:color="auto" w:sz="4" w:space="0"/>
              <w:left w:val="single" w:color="auto" w:sz="4" w:space="0"/>
              <w:bottom w:val="single" w:color="auto" w:sz="4" w:space="0"/>
              <w:right w:val="single" w:color="auto" w:sz="4" w:space="0"/>
            </w:tcBorders>
            <w:noWrap w:val="0"/>
            <w:vAlign w:val="center"/>
          </w:tcPr>
          <w:p w14:paraId="7E790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rPr>
              <w:t>1.交货时间：收到采购计划后15日内应发货，检验报告随货同行。</w:t>
            </w:r>
          </w:p>
          <w:p w14:paraId="7A865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rPr>
              <w:t>2.交货地点：采购人指定地点。</w:t>
            </w:r>
          </w:p>
        </w:tc>
      </w:tr>
      <w:tr w14:paraId="60EC1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1337" w:type="pct"/>
            <w:gridSpan w:val="2"/>
            <w:tcBorders>
              <w:top w:val="single" w:color="auto" w:sz="4" w:space="0"/>
              <w:left w:val="single" w:color="auto" w:sz="4" w:space="0"/>
              <w:bottom w:val="single" w:color="auto" w:sz="4" w:space="0"/>
              <w:right w:val="single" w:color="auto" w:sz="4" w:space="0"/>
            </w:tcBorders>
            <w:noWrap w:val="0"/>
            <w:vAlign w:val="center"/>
          </w:tcPr>
          <w:p w14:paraId="61BA595A">
            <w:pPr>
              <w:keepNext w:val="0"/>
              <w:keepLines w:val="0"/>
              <w:suppressLineNumbers w:val="0"/>
              <w:spacing w:before="0" w:beforeAutospacing="0" w:after="0" w:afterAutospacing="0" w:line="260" w:lineRule="exact"/>
              <w:ind w:left="0" w:right="0"/>
              <w:jc w:val="center"/>
              <w:rPr>
                <w:rFonts w:hint="eastAsia" w:ascii="宋体" w:hAnsi="宋体"/>
                <w:szCs w:val="21"/>
              </w:rPr>
            </w:pPr>
            <w:r>
              <w:rPr>
                <w:rFonts w:hint="eastAsia" w:ascii="宋体" w:hAnsi="宋体"/>
                <w:szCs w:val="21"/>
              </w:rPr>
              <w:t>投标报价要求</w:t>
            </w:r>
          </w:p>
        </w:tc>
        <w:tc>
          <w:tcPr>
            <w:tcW w:w="3662" w:type="pct"/>
            <w:gridSpan w:val="2"/>
            <w:tcBorders>
              <w:top w:val="single" w:color="auto" w:sz="4" w:space="0"/>
              <w:left w:val="single" w:color="auto" w:sz="4" w:space="0"/>
              <w:bottom w:val="single" w:color="auto" w:sz="4" w:space="0"/>
              <w:right w:val="single" w:color="auto" w:sz="4" w:space="0"/>
            </w:tcBorders>
            <w:noWrap w:val="0"/>
            <w:vAlign w:val="center"/>
          </w:tcPr>
          <w:p w14:paraId="288424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rPr>
              <w:t>1、项目需求中所列的采购数量仅为采购计划量，最终结算以采购人实际采购数量为准。要求响应供应商根据项目需求所列内容进行报价，单价将作为签订采购合同的重要依据，响应供应商的总报价不作为最终成交金额，成交金额由采购人每批次实际采购的数量以及成交供应商的成交单价确定。</w:t>
            </w:r>
          </w:p>
          <w:p w14:paraId="10E5D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rPr>
              <w:t>2、报价包括货款、人工费、运费、装卸费、差旅费及相关税费等完成本项目所需的一切费用。供应商在报价中必须考虑各种风险费用，在合同实施时，采购人将不另行支付成交供应商没有列入的项目费用，并认为此项目的费用已包括在总报价中。</w:t>
            </w:r>
          </w:p>
        </w:tc>
      </w:tr>
      <w:tr w14:paraId="0E559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337" w:type="pct"/>
            <w:gridSpan w:val="2"/>
            <w:tcBorders>
              <w:top w:val="single" w:color="auto" w:sz="4" w:space="0"/>
              <w:left w:val="single" w:color="auto" w:sz="4" w:space="0"/>
              <w:bottom w:val="single" w:color="auto" w:sz="4" w:space="0"/>
              <w:right w:val="single" w:color="auto" w:sz="4" w:space="0"/>
            </w:tcBorders>
            <w:noWrap w:val="0"/>
            <w:vAlign w:val="center"/>
          </w:tcPr>
          <w:p w14:paraId="0FBC8CFF">
            <w:pPr>
              <w:keepNext w:val="0"/>
              <w:keepLines w:val="0"/>
              <w:suppressLineNumbers w:val="0"/>
              <w:spacing w:before="0" w:beforeAutospacing="0" w:after="0" w:afterAutospacing="0" w:line="260" w:lineRule="exact"/>
              <w:ind w:left="0" w:right="0"/>
              <w:jc w:val="center"/>
              <w:rPr>
                <w:rFonts w:hint="eastAsia" w:ascii="宋体" w:hAnsi="宋体"/>
                <w:szCs w:val="21"/>
              </w:rPr>
            </w:pPr>
            <w:r>
              <w:rPr>
                <w:rFonts w:hint="eastAsia" w:ascii="宋体" w:hAnsi="宋体"/>
                <w:szCs w:val="21"/>
              </w:rPr>
              <w:t>付款方式</w:t>
            </w:r>
          </w:p>
        </w:tc>
        <w:tc>
          <w:tcPr>
            <w:tcW w:w="3662" w:type="pct"/>
            <w:gridSpan w:val="2"/>
            <w:tcBorders>
              <w:top w:val="single" w:color="auto" w:sz="4" w:space="0"/>
              <w:left w:val="single" w:color="auto" w:sz="4" w:space="0"/>
              <w:bottom w:val="single" w:color="auto" w:sz="4" w:space="0"/>
              <w:right w:val="single" w:color="auto" w:sz="4" w:space="0"/>
            </w:tcBorders>
            <w:noWrap w:val="0"/>
            <w:vAlign w:val="center"/>
          </w:tcPr>
          <w:p w14:paraId="3A80F17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rPr>
              <w:t>结算方式：按</w:t>
            </w:r>
            <w:r>
              <w:rPr>
                <w:rFonts w:hint="eastAsia" w:ascii="宋体" w:hAnsi="宋体" w:eastAsia="宋体" w:cs="Times New Roman"/>
                <w:b w:val="0"/>
                <w:bCs/>
                <w:color w:val="000000"/>
                <w:szCs w:val="21"/>
                <w:highlight w:val="none"/>
                <w:lang w:val="en-US" w:eastAsia="zh-CN"/>
              </w:rPr>
              <w:t>批次</w:t>
            </w:r>
            <w:r>
              <w:rPr>
                <w:rFonts w:hint="eastAsia" w:ascii="宋体" w:hAnsi="宋体" w:eastAsia="宋体" w:cs="Times New Roman"/>
                <w:b w:val="0"/>
                <w:bCs/>
                <w:color w:val="000000"/>
                <w:szCs w:val="21"/>
                <w:highlight w:val="none"/>
              </w:rPr>
              <w:t>结算</w:t>
            </w:r>
            <w:r>
              <w:rPr>
                <w:rFonts w:hint="eastAsia" w:ascii="宋体" w:hAnsi="宋体" w:eastAsia="宋体" w:cs="Times New Roman"/>
                <w:b w:val="0"/>
                <w:bCs/>
                <w:color w:val="000000"/>
                <w:szCs w:val="21"/>
                <w:highlight w:val="none"/>
                <w:lang w:eastAsia="zh-CN"/>
              </w:rPr>
              <w:t>；</w:t>
            </w:r>
          </w:p>
          <w:p w14:paraId="4B8EB862">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lang w:val="en-US" w:eastAsia="zh-CN"/>
              </w:rPr>
              <w:t>采购人一年内分三批次进货，货物</w:t>
            </w:r>
            <w:r>
              <w:rPr>
                <w:rFonts w:hint="eastAsia" w:ascii="宋体" w:hAnsi="宋体" w:eastAsia="宋体" w:cs="Times New Roman"/>
                <w:b w:val="0"/>
                <w:bCs/>
                <w:color w:val="000000"/>
                <w:szCs w:val="21"/>
                <w:highlight w:val="none"/>
              </w:rPr>
              <w:t>经采购人验收合格后，按照</w:t>
            </w:r>
            <w:r>
              <w:rPr>
                <w:rFonts w:hint="eastAsia" w:ascii="宋体" w:hAnsi="宋体" w:eastAsia="宋体" w:cs="Times New Roman"/>
                <w:b w:val="0"/>
                <w:bCs/>
                <w:color w:val="000000"/>
                <w:szCs w:val="21"/>
                <w:highlight w:val="none"/>
                <w:lang w:val="en-US" w:eastAsia="zh-CN"/>
              </w:rPr>
              <w:t>每批次</w:t>
            </w:r>
            <w:r>
              <w:rPr>
                <w:rFonts w:hint="eastAsia" w:ascii="宋体" w:hAnsi="宋体" w:eastAsia="宋体" w:cs="Times New Roman"/>
                <w:b w:val="0"/>
                <w:bCs/>
                <w:color w:val="000000"/>
                <w:szCs w:val="21"/>
                <w:highlight w:val="none"/>
              </w:rPr>
              <w:t>实际进货数量乘以成交单价向成交供应商支付货款。</w:t>
            </w:r>
          </w:p>
        </w:tc>
      </w:tr>
      <w:tr w14:paraId="738F8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1337" w:type="pct"/>
            <w:gridSpan w:val="2"/>
            <w:tcBorders>
              <w:top w:val="single" w:color="auto" w:sz="4" w:space="0"/>
              <w:left w:val="single" w:color="auto" w:sz="4" w:space="0"/>
              <w:bottom w:val="single" w:color="auto" w:sz="4" w:space="0"/>
              <w:right w:val="single" w:color="auto" w:sz="4" w:space="0"/>
            </w:tcBorders>
            <w:noWrap w:val="0"/>
            <w:vAlign w:val="center"/>
          </w:tcPr>
          <w:p w14:paraId="7BA6FBFD">
            <w:pPr>
              <w:keepNext w:val="0"/>
              <w:keepLines w:val="0"/>
              <w:suppressLineNumbers w:val="0"/>
              <w:spacing w:before="0" w:beforeAutospacing="0" w:after="0" w:afterAutospacing="0" w:line="260" w:lineRule="exact"/>
              <w:ind w:left="0" w:right="0"/>
              <w:jc w:val="center"/>
              <w:rPr>
                <w:rFonts w:hint="eastAsia" w:ascii="宋体" w:hAnsi="宋体" w:cs="Arial"/>
                <w:b w:val="0"/>
                <w:bCs/>
                <w:color w:val="000000"/>
                <w:szCs w:val="21"/>
              </w:rPr>
            </w:pPr>
            <w:r>
              <w:rPr>
                <w:rFonts w:hint="eastAsia" w:ascii="宋体" w:hAnsi="宋体" w:cs="Arial"/>
                <w:szCs w:val="21"/>
              </w:rPr>
              <w:t>规范标准</w:t>
            </w:r>
          </w:p>
        </w:tc>
        <w:tc>
          <w:tcPr>
            <w:tcW w:w="3662" w:type="pct"/>
            <w:gridSpan w:val="2"/>
            <w:tcBorders>
              <w:top w:val="single" w:color="auto" w:sz="4" w:space="0"/>
              <w:left w:val="single" w:color="auto" w:sz="4" w:space="0"/>
              <w:bottom w:val="single" w:color="auto" w:sz="4" w:space="0"/>
              <w:right w:val="single" w:color="auto" w:sz="4" w:space="0"/>
            </w:tcBorders>
            <w:noWrap w:val="0"/>
            <w:vAlign w:val="center"/>
          </w:tcPr>
          <w:p w14:paraId="204C0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b w:val="0"/>
                <w:bCs/>
                <w:color w:val="000000"/>
                <w:szCs w:val="21"/>
              </w:rPr>
            </w:pPr>
            <w:r>
              <w:rPr>
                <w:rFonts w:hint="eastAsia" w:ascii="宋体" w:hAnsi="宋体" w:eastAsia="宋体" w:cs="Times New Roman"/>
                <w:b w:val="0"/>
                <w:bCs/>
                <w:color w:val="000000"/>
                <w:szCs w:val="21"/>
                <w:highlight w:val="none"/>
              </w:rPr>
              <w:t>采购标的需严格执行《药品管理法》、《医疗机构药事管理规定》和《中华人民共和国药典》等法律法规的有关规定，诚信经营。</w:t>
            </w:r>
          </w:p>
        </w:tc>
      </w:tr>
      <w:tr w14:paraId="408CF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1337" w:type="pct"/>
            <w:gridSpan w:val="2"/>
            <w:tcBorders>
              <w:top w:val="single" w:color="auto" w:sz="4" w:space="0"/>
              <w:left w:val="single" w:color="auto" w:sz="4" w:space="0"/>
              <w:bottom w:val="single" w:color="auto" w:sz="4" w:space="0"/>
              <w:right w:val="single" w:color="auto" w:sz="4" w:space="0"/>
            </w:tcBorders>
            <w:noWrap w:val="0"/>
            <w:vAlign w:val="center"/>
          </w:tcPr>
          <w:p w14:paraId="1A7847B2">
            <w:pPr>
              <w:keepNext w:val="0"/>
              <w:keepLines w:val="0"/>
              <w:suppressLineNumbers w:val="0"/>
              <w:spacing w:before="0" w:beforeAutospacing="0" w:after="0" w:afterAutospacing="0" w:line="260" w:lineRule="exact"/>
              <w:ind w:left="0" w:right="0"/>
              <w:jc w:val="center"/>
              <w:rPr>
                <w:rFonts w:hint="eastAsia" w:ascii="宋体" w:hAnsi="宋体"/>
                <w:szCs w:val="21"/>
              </w:rPr>
            </w:pPr>
            <w:r>
              <w:rPr>
                <w:rFonts w:hint="eastAsia" w:ascii="宋体" w:hAnsi="宋体"/>
                <w:szCs w:val="21"/>
              </w:rPr>
              <w:t>验收标准</w:t>
            </w:r>
          </w:p>
        </w:tc>
        <w:tc>
          <w:tcPr>
            <w:tcW w:w="3662" w:type="pct"/>
            <w:gridSpan w:val="2"/>
            <w:tcBorders>
              <w:top w:val="single" w:color="auto" w:sz="4" w:space="0"/>
              <w:left w:val="single" w:color="auto" w:sz="4" w:space="0"/>
              <w:bottom w:val="single" w:color="auto" w:sz="4" w:space="0"/>
              <w:right w:val="single" w:color="auto" w:sz="4" w:space="0"/>
            </w:tcBorders>
            <w:noWrap w:val="0"/>
            <w:vAlign w:val="center"/>
          </w:tcPr>
          <w:p w14:paraId="745694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rPr>
              <w:t>1、验收过程中所产生的一切费用均由成交人承担。报价时应考虑相关费用。</w:t>
            </w:r>
          </w:p>
          <w:p w14:paraId="4B65A5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Times New Roman"/>
                <w:b w:val="0"/>
                <w:bCs/>
                <w:color w:val="000000"/>
                <w:szCs w:val="21"/>
                <w:highlight w:val="none"/>
              </w:rPr>
            </w:pPr>
            <w:r>
              <w:rPr>
                <w:rFonts w:hint="eastAsia" w:ascii="宋体" w:hAnsi="宋体" w:eastAsia="宋体" w:cs="Times New Roman"/>
                <w:b w:val="0"/>
                <w:bCs/>
                <w:color w:val="000000"/>
                <w:szCs w:val="21"/>
                <w:highlight w:val="none"/>
              </w:rPr>
              <w:t>2、成交人在项目验收时由采购单位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tc>
      </w:tr>
    </w:tbl>
    <w:p w14:paraId="4126FE6D">
      <w:pPr>
        <w:numPr>
          <w:ilvl w:val="0"/>
          <w:numId w:val="0"/>
        </w:numPr>
        <w:ind w:firstLine="420"/>
        <w:rPr>
          <w:rFonts w:hint="default"/>
          <w:sz w:val="24"/>
          <w:szCs w:val="24"/>
          <w:lang w:eastAsia="zh-CN"/>
        </w:rPr>
      </w:pPr>
    </w:p>
    <w:p w14:paraId="6B462622">
      <w:pPr>
        <w:numPr>
          <w:ilvl w:val="0"/>
          <w:numId w:val="0"/>
        </w:numPr>
        <w:ind w:firstLine="420"/>
        <w:rPr>
          <w:rFonts w:hint="default"/>
          <w:sz w:val="24"/>
          <w:szCs w:val="24"/>
          <w:lang w:eastAsia="zh-CN"/>
        </w:rPr>
      </w:pPr>
    </w:p>
    <w:p w14:paraId="0C953890">
      <w:pPr>
        <w:numPr>
          <w:ilvl w:val="0"/>
          <w:numId w:val="0"/>
        </w:numPr>
        <w:ind w:firstLine="420"/>
        <w:rPr>
          <w:rFonts w:hint="default"/>
          <w:sz w:val="24"/>
          <w:szCs w:val="24"/>
          <w:lang w:eastAsia="zh-CN"/>
        </w:rPr>
      </w:pPr>
    </w:p>
    <w:p w14:paraId="18FA4201">
      <w:pPr>
        <w:numPr>
          <w:ilvl w:val="0"/>
          <w:numId w:val="0"/>
        </w:numPr>
        <w:ind w:firstLine="420"/>
        <w:rPr>
          <w:rFonts w:hint="default"/>
          <w:sz w:val="24"/>
          <w:szCs w:val="24"/>
          <w:lang w:eastAsia="zh-CN"/>
        </w:rPr>
      </w:pPr>
    </w:p>
    <w:p w14:paraId="706A5F65">
      <w:pPr>
        <w:numPr>
          <w:ilvl w:val="0"/>
          <w:numId w:val="0"/>
        </w:numPr>
        <w:ind w:firstLine="420"/>
        <w:rPr>
          <w:rFonts w:hint="default"/>
          <w:sz w:val="24"/>
          <w:szCs w:val="24"/>
          <w:lang w:eastAsia="zh-CN"/>
        </w:rPr>
      </w:pPr>
    </w:p>
    <w:p w14:paraId="119B76AC">
      <w:pPr>
        <w:numPr>
          <w:ilvl w:val="0"/>
          <w:numId w:val="0"/>
        </w:numPr>
        <w:ind w:firstLine="420"/>
        <w:rPr>
          <w:rFonts w:hint="default"/>
          <w:sz w:val="24"/>
          <w:szCs w:val="24"/>
          <w:lang w:eastAsia="zh-CN"/>
        </w:rPr>
      </w:pPr>
    </w:p>
    <w:p w14:paraId="6BC3DA39">
      <w:pPr>
        <w:numPr>
          <w:ilvl w:val="0"/>
          <w:numId w:val="0"/>
        </w:numPr>
        <w:ind w:firstLine="420"/>
        <w:rPr>
          <w:rFonts w:hint="default"/>
          <w:sz w:val="24"/>
          <w:szCs w:val="24"/>
          <w:lang w:eastAsia="zh-CN"/>
        </w:rPr>
      </w:pPr>
    </w:p>
    <w:p w14:paraId="69C3EA91">
      <w:pPr>
        <w:numPr>
          <w:ilvl w:val="0"/>
          <w:numId w:val="0"/>
        </w:numPr>
        <w:ind w:firstLine="420"/>
        <w:rPr>
          <w:rFonts w:hint="default"/>
          <w:sz w:val="24"/>
          <w:szCs w:val="24"/>
          <w:lang w:eastAsia="zh-CN"/>
        </w:rPr>
      </w:pPr>
    </w:p>
    <w:p w14:paraId="353B83EC">
      <w:pPr>
        <w:numPr>
          <w:ilvl w:val="0"/>
          <w:numId w:val="0"/>
        </w:numPr>
        <w:ind w:firstLine="420"/>
        <w:rPr>
          <w:rFonts w:hint="default"/>
          <w:sz w:val="24"/>
          <w:szCs w:val="24"/>
          <w:lang w:eastAsia="zh-CN"/>
        </w:rPr>
      </w:pPr>
    </w:p>
    <w:p w14:paraId="32D00CF4">
      <w:pPr>
        <w:numPr>
          <w:ilvl w:val="0"/>
          <w:numId w:val="0"/>
        </w:numPr>
        <w:ind w:firstLine="420"/>
        <w:rPr>
          <w:rFonts w:hint="default"/>
          <w:sz w:val="24"/>
          <w:szCs w:val="24"/>
          <w:lang w:eastAsia="zh-CN"/>
        </w:rPr>
      </w:pPr>
    </w:p>
    <w:p w14:paraId="00EA1EC4">
      <w:pPr>
        <w:numPr>
          <w:ilvl w:val="0"/>
          <w:numId w:val="0"/>
        </w:numPr>
        <w:ind w:firstLine="420"/>
        <w:rPr>
          <w:rFonts w:hint="default"/>
          <w:sz w:val="24"/>
          <w:szCs w:val="24"/>
          <w:lang w:eastAsia="zh-CN"/>
        </w:rPr>
      </w:pPr>
    </w:p>
    <w:p w14:paraId="753D76BA">
      <w:pPr>
        <w:numPr>
          <w:ilvl w:val="0"/>
          <w:numId w:val="0"/>
        </w:numPr>
        <w:ind w:firstLine="420"/>
        <w:rPr>
          <w:rFonts w:hint="default"/>
          <w:sz w:val="24"/>
          <w:szCs w:val="24"/>
          <w:lang w:eastAsia="zh-CN"/>
        </w:rPr>
      </w:pPr>
    </w:p>
    <w:p w14:paraId="1A39D2B0">
      <w:pPr>
        <w:numPr>
          <w:ilvl w:val="0"/>
          <w:numId w:val="0"/>
        </w:numPr>
        <w:ind w:firstLine="420"/>
        <w:rPr>
          <w:rFonts w:hint="default"/>
          <w:sz w:val="24"/>
          <w:szCs w:val="24"/>
          <w:lang w:eastAsia="zh-CN"/>
        </w:rPr>
      </w:pPr>
    </w:p>
    <w:p w14:paraId="245E5C0E">
      <w:pPr>
        <w:numPr>
          <w:ilvl w:val="0"/>
          <w:numId w:val="0"/>
        </w:numPr>
        <w:ind w:firstLine="420"/>
        <w:rPr>
          <w:rFonts w:hint="default"/>
          <w:sz w:val="24"/>
          <w:szCs w:val="24"/>
          <w:lang w:eastAsia="zh-CN"/>
        </w:rPr>
      </w:pPr>
    </w:p>
    <w:p w14:paraId="49404813">
      <w:pPr>
        <w:numPr>
          <w:ilvl w:val="0"/>
          <w:numId w:val="0"/>
        </w:numPr>
        <w:ind w:firstLine="420"/>
        <w:rPr>
          <w:rFonts w:hint="default"/>
          <w:sz w:val="24"/>
          <w:szCs w:val="24"/>
          <w:lang w:eastAsia="zh-CN"/>
        </w:rPr>
      </w:pPr>
    </w:p>
    <w:p w14:paraId="5E49A625">
      <w:pPr>
        <w:numPr>
          <w:ilvl w:val="0"/>
          <w:numId w:val="0"/>
        </w:numPr>
        <w:ind w:firstLine="420"/>
        <w:rPr>
          <w:rFonts w:hint="default"/>
          <w:sz w:val="24"/>
          <w:szCs w:val="24"/>
          <w:lang w:eastAsia="zh-CN"/>
        </w:rPr>
      </w:pPr>
    </w:p>
    <w:p w14:paraId="4E7C7729">
      <w:pPr>
        <w:numPr>
          <w:ilvl w:val="0"/>
          <w:numId w:val="0"/>
        </w:numPr>
        <w:ind w:firstLine="420"/>
        <w:rPr>
          <w:rFonts w:hint="default"/>
          <w:sz w:val="24"/>
          <w:szCs w:val="24"/>
          <w:lang w:eastAsia="zh-CN"/>
        </w:rPr>
      </w:pPr>
    </w:p>
    <w:p w14:paraId="6884AA7D">
      <w:pPr>
        <w:numPr>
          <w:ilvl w:val="0"/>
          <w:numId w:val="0"/>
        </w:numPr>
        <w:ind w:firstLine="420"/>
        <w:rPr>
          <w:rFonts w:hint="default"/>
          <w:sz w:val="24"/>
          <w:szCs w:val="24"/>
          <w:lang w:eastAsia="zh-CN"/>
        </w:rPr>
      </w:pPr>
    </w:p>
    <w:p w14:paraId="77F8A8D9">
      <w:pPr>
        <w:numPr>
          <w:ilvl w:val="0"/>
          <w:numId w:val="0"/>
        </w:numPr>
        <w:ind w:firstLine="420"/>
        <w:rPr>
          <w:rFonts w:hint="default"/>
          <w:sz w:val="24"/>
          <w:szCs w:val="24"/>
          <w:lang w:eastAsia="zh-CN"/>
        </w:rPr>
      </w:pPr>
    </w:p>
    <w:p w14:paraId="3CCFED92">
      <w:pPr>
        <w:numPr>
          <w:ilvl w:val="0"/>
          <w:numId w:val="0"/>
        </w:numPr>
        <w:ind w:firstLine="420"/>
        <w:rPr>
          <w:rFonts w:hint="default"/>
          <w:sz w:val="24"/>
          <w:szCs w:val="24"/>
          <w:lang w:eastAsia="zh-CN"/>
        </w:rPr>
      </w:pPr>
    </w:p>
    <w:p w14:paraId="2DFCA705">
      <w:pPr>
        <w:numPr>
          <w:ilvl w:val="0"/>
          <w:numId w:val="0"/>
        </w:numPr>
        <w:rPr>
          <w:rFonts w:hint="default"/>
          <w:sz w:val="24"/>
          <w:szCs w:val="2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06628"/>
    <w:multiLevelType w:val="singleLevel"/>
    <w:tmpl w:val="B1E0662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D317E"/>
    <w:rsid w:val="20AF6823"/>
    <w:rsid w:val="26004536"/>
    <w:rsid w:val="2E790004"/>
    <w:rsid w:val="319156B3"/>
    <w:rsid w:val="32DF1105"/>
    <w:rsid w:val="442C4EA4"/>
    <w:rsid w:val="5C154A93"/>
    <w:rsid w:val="76AD3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Plain Text"/>
    <w:basedOn w:val="1"/>
    <w:link w:val="7"/>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0"/>
      <w:sz w:val="20"/>
      <w:szCs w:val="21"/>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纯文本 Char"/>
    <w:basedOn w:val="5"/>
    <w:link w:val="2"/>
    <w:qFormat/>
    <w:uiPriority w:val="0"/>
    <w:rPr>
      <w:rFonts w:hint="eastAsia" w:ascii="宋体" w:hAnsi="Courier New" w:eastAsia="宋体" w:cs="Courier New"/>
      <w:szCs w:val="21"/>
    </w:rPr>
  </w:style>
  <w:style w:type="character" w:customStyle="1" w:styleId="8">
    <w:name w:val="纯文本 字符"/>
    <w:basedOn w:val="5"/>
    <w:qFormat/>
    <w:uiPriority w:val="0"/>
    <w:rPr>
      <w:rFonts w:ascii="等线" w:hAnsi="Courier New" w:eastAsia="等线" w:cs="Courier New"/>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1240</Words>
  <Characters>1321</Characters>
  <Lines>0</Lines>
  <Paragraphs>0</Paragraphs>
  <TotalTime>11</TotalTime>
  <ScaleCrop>false</ScaleCrop>
  <LinksUpToDate>false</LinksUpToDate>
  <CharactersWithSpaces>1323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2025-01-24T06:38:00Z</dcterms:created>
  <dc:creator>lenovo</dc:creator>
  <cp:lastModifiedBy>chinley</cp:lastModifiedBy>
  <dcterms:modified xsi:type="dcterms:W3CDTF">2025-03-06T08:41:52Z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eyJoZGlkIjoiMGQyZWJkMjc3ODM2Njg0ZTQ0N2NhNTJlZjIxMTcwNzkifQ==</vt:lpwstr>
  </property>
  <property fmtid="{D5CDD505-2E9C-101B-9397-08002B2CF9AE}" pid="4" name="ICV">
    <vt:lpwstr>26C26347A89C4B04B5C392E77BCD517E_13</vt:lpwstr>
  </property>
</Properties>
</file>