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3F88" w14:textId="77777777" w:rsidR="00E320D6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102B061F" w14:textId="77777777" w:rsidR="00E320D6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D969233" w14:textId="77777777" w:rsidR="00E320D6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74739E8B" w14:textId="77777777" w:rsidR="00E320D6" w:rsidRDefault="00E320D6">
      <w:pPr>
        <w:rPr>
          <w:rFonts w:ascii="仿宋_GB2312" w:eastAsia="仿宋_GB2312"/>
        </w:rPr>
      </w:pPr>
    </w:p>
    <w:p w14:paraId="1296298B" w14:textId="36A91DE4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患者姓名：谭</w:t>
      </w:r>
      <w:r w:rsidR="00CD028E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性别：男                出生日期：1990年6月1日</w:t>
      </w:r>
    </w:p>
    <w:p w14:paraId="25C47477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就诊日期：2021/8/26    初诊             发病节气：处暑</w:t>
      </w:r>
    </w:p>
    <w:p w14:paraId="7CB4D131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3FCA4E72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4F3038D0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主诉：反复上腹部疼痛6年，加重伴呕吐物带血4天。</w:t>
      </w:r>
    </w:p>
    <w:p w14:paraId="080075C2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14B24010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自述6年前始出现上腹部胀痛,痛无定处,攻窜两胁,时有嗳气反酸,每因情志不畅时发作，纳食尚可，无黑便、呕血症状，当地门诊行胃镜检查诊断为：“慢性浅表性胃炎，HP（-）”。曾服用“雷尼替丁、奥美拉唑、麦滋林颗粒”等药治疗后症状好转，但常有反复。4天前因恼怒后再发加重，上腹部胀痛,攻窜两胁,嗳气反酸,食欲稍差，恶心，呕吐物带血丝，大、小便正常，无消瘦、黑便等症，现为进一步中医治疗来诊。来诊时见症见胃脘胀痛,痛无定处,攻窜两胁,时有嗳气反酸,每因情志不畅时发作，恶心，呕吐物中带血丝，舌淡苔薄黄,脉弦数。</w:t>
      </w:r>
    </w:p>
    <w:p w14:paraId="15505C37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既往史否认高血压、心脏病、糖尿病史，否认肝炎、结核等传染病史；否认重大外伤、手术及输血史；预防接种史不详。无食鱼生史。</w:t>
      </w:r>
    </w:p>
    <w:p w14:paraId="46EE5883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40C66BB6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36.7℃，P78次/分，R20次/分，BP128/63mmHg，神清，精神可，正常面容，咽不红，扁桃体无肿大，颈静脉无怒张。双肺呼吸音清，双肺未闻及明显干湿性啰音。心界不大，HR78次/分，律齐，无明显病理性杂音。腹部平软，上腹部轻压痛，无反跳痛，肝脾肋下未及，肝肾区无叩击痛，移动性浊音（-），肠鸣音正常，约5次/分。双下肢无水肿。舌淡苔薄，脉弦。</w:t>
      </w:r>
    </w:p>
    <w:p w14:paraId="171F01F5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辅助检查：来诊前2周未做相关检查。</w:t>
      </w:r>
    </w:p>
    <w:p w14:paraId="1B9AC981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中医诊断：胃痛</w:t>
      </w:r>
    </w:p>
    <w:p w14:paraId="1C3127DE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证候诊断：肝胃郁滞，热伤血络</w:t>
      </w:r>
    </w:p>
    <w:p w14:paraId="24D3267F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西医诊断：慢性胃炎</w:t>
      </w:r>
    </w:p>
    <w:p w14:paraId="5378AE7A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法：疏肝解郁，健脾和胃，凉血止血</w:t>
      </w:r>
    </w:p>
    <w:p w14:paraId="57CA5E14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方：柴芍六君子汤加味</w:t>
      </w:r>
    </w:p>
    <w:p w14:paraId="0988045A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柴胡(农本)10g,乌药(农本)10g,甘草(农本)6g,茜草(农本)15g,三七(农本)3g,白及(农本)10g,郁金(农本)10g,党参(农本)10g,麸炒白术(农本)10g,茯苓(农本)15g,陈皮(农本)6g,法半夏(农本)10g,白芍(农本)15g</w:t>
      </w:r>
    </w:p>
    <w:p w14:paraId="421BB76E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10付，水煎服，日1付。</w:t>
      </w:r>
    </w:p>
    <w:p w14:paraId="3C58BC6C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党参性平力缓，补脾而不腻，养胃而不燥;脾虚易致水湿内生，以白术健脾除湿，茯苓甘淡渗湿，顺应“脾喜燥恶湿”的生理特性，恢复脾胃运化之职;陈皮能行能降，具有理气运脾之功，半夏善化痰饮而降胃气，二陈相合，使脾气流通，胃气和降，与四君相伍，使补而不滞，行而不散。脾虚则易为肝气相乘，故加柴胡条达肝气，疏肝解郁，加白芍养血柔肝，缓急止痛。乌药行气止痛，</w:t>
      </w:r>
      <w:r>
        <w:rPr>
          <w:rFonts w:ascii="仿宋" w:eastAsia="仿宋" w:hAnsi="仿宋" w:hint="eastAsia"/>
          <w:sz w:val="24"/>
        </w:rPr>
        <w:lastRenderedPageBreak/>
        <w:t>健脾，消食，郁金活血止痛，茜草凉血止血,三七散瘀止血，白及</w:t>
      </w:r>
      <w:r>
        <w:rPr>
          <w:rFonts w:ascii="仿宋" w:eastAsia="仿宋" w:hAnsi="仿宋"/>
          <w:sz w:val="24"/>
        </w:rPr>
        <w:t>收敛止血。</w:t>
      </w:r>
      <w:r>
        <w:rPr>
          <w:rFonts w:ascii="仿宋" w:eastAsia="仿宋" w:hAnsi="仿宋" w:hint="eastAsia"/>
          <w:sz w:val="24"/>
        </w:rPr>
        <w:t>上药共奏疏肝解郁，健脾和胃，凉血止血之功。</w:t>
      </w:r>
    </w:p>
    <w:p w14:paraId="33413D52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68DA5491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1AEB4074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4E146CB2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009AB83E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2021/9/9 </w:t>
      </w:r>
    </w:p>
    <w:p w14:paraId="4A9AD241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来诊时见症见胃脘胀痛明显减轻,无攻窜两胁、嗳气反酸,无呕吐，纳差，大小便正常，舌淡苔薄黄,脉弦数。</w:t>
      </w:r>
    </w:p>
    <w:p w14:paraId="3080D624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59A3EFCE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柴胡10g,法半夏10g,茯苓15g,(醋)郁金10g,白及10g,甘草片6g,建曲10g,三七3g,乌药10g,陈皮6g,(麸炒)白术10g,党参片15g,白芍15g</w:t>
      </w:r>
    </w:p>
    <w:p w14:paraId="01338BAE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10付，水煎服，日1付。</w:t>
      </w:r>
    </w:p>
    <w:p w14:paraId="31823D85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党参性平力缓，补脾而不腻，养胃而不燥;脾虚易致水湿内生，以白术健脾除湿，茯苓甘淡渗湿，顺应“脾喜燥恶湿”的生理特性，恢复脾胃运化之职;陈皮能行能降，具有理气运脾之功，半夏善化痰饮而降胃气，二陈相合，使脾气流通，胃气和降，与四君相伍，使补而不滞，行而不散。脾虚则易为肝气相乘，故加柴胡条达肝气，疏肝解郁，加白芍养血柔肝，缓急止痛。乌药行气止痛，健脾，消食，郁金活血止痛，三七散瘀止血，白及</w:t>
      </w:r>
      <w:r>
        <w:rPr>
          <w:rFonts w:ascii="仿宋" w:eastAsia="仿宋" w:hAnsi="仿宋"/>
          <w:sz w:val="24"/>
        </w:rPr>
        <w:t>收敛止血。</w:t>
      </w:r>
      <w:r>
        <w:rPr>
          <w:rFonts w:ascii="仿宋" w:eastAsia="仿宋" w:hAnsi="仿宋" w:hint="eastAsia"/>
          <w:sz w:val="24"/>
        </w:rPr>
        <w:t>因无恶心呕吐，祛茜草。因纳差，加建曲健脾和胃，消食。上药共奏疏肝解郁，健脾和胃，凉血止血之功。</w:t>
      </w:r>
    </w:p>
    <w:p w14:paraId="6C7EF0B4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5CE5297B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2021/9/23 </w:t>
      </w:r>
    </w:p>
    <w:p w14:paraId="5E752E1F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来诊时见症见胃脘已无胀痛,无呕吐，纳稍差，大小便正常，舌淡苔薄黄,脉弦数。</w:t>
      </w:r>
    </w:p>
    <w:p w14:paraId="50773E51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099E8837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柴胡(农本)10g,法半夏10g,党参(农本)15g,茯苓(农本)15g,郁金(农本)10g,白及(农本)10g,六神曲(农本)10g,甘草(农本)6g,三七(农本)3g,乌药(农本)10g,陈皮(农本)6g,麸炒白术(农本)10g,白芍(农本)15g</w:t>
      </w:r>
    </w:p>
    <w:p w14:paraId="21DC50D7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1C161E0D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党参性平力缓，补脾而不腻，养胃而不燥;脾虚易致水湿内生，以白术健脾除湿，茯苓甘淡渗湿，顺应“脾喜燥恶湿”的生理特性，恢复脾胃运化之职;陈皮能行能降，具有理气运脾之功，半夏善化痰饮而降胃气，二陈相合，使脾气流通，胃气和降，与四君相伍，使补而不滞，行而不散。脾虚则易为肝气相乘，故加柴胡条达肝气，疏肝解郁，加白芍养血柔肝，缓急止痛。乌药行气止痛，健脾，消食，郁金活血止痛，三七散瘀止血，白及</w:t>
      </w:r>
      <w:r>
        <w:rPr>
          <w:rFonts w:ascii="仿宋" w:eastAsia="仿宋" w:hAnsi="仿宋"/>
          <w:sz w:val="24"/>
        </w:rPr>
        <w:t>收敛止血。</w:t>
      </w:r>
      <w:r>
        <w:rPr>
          <w:rFonts w:ascii="仿宋" w:eastAsia="仿宋" w:hAnsi="仿宋" w:hint="eastAsia"/>
          <w:sz w:val="24"/>
        </w:rPr>
        <w:t>建曲健脾和胃，消食。上药共奏疏肝解郁，健脾和胃，凉血止血之功。</w:t>
      </w:r>
    </w:p>
    <w:p w14:paraId="178B9950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61855B91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2021/10/14</w:t>
      </w:r>
    </w:p>
    <w:p w14:paraId="5416AAC8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来诊时见症见胃脘已无胀痛,无呕吐，食欲正常，大小便正常，舌淡苔薄白,脉弦。</w:t>
      </w:r>
    </w:p>
    <w:p w14:paraId="04A2A416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6E7D82E8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柴胡(农本)10g,郁金(农本)10g,槐花(农本)15g,葛根(农本)15g,六神曲(农本)10g,甘草(农本)6g,乌药(农本)10g,陈皮(农本)6g,白芍(农本)15g,党参(农本)15g,茯苓(农本)15g,麸炒白术(农本)10g</w:t>
      </w:r>
    </w:p>
    <w:p w14:paraId="6013F0D8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5付，水煎服，日1付。</w:t>
      </w:r>
    </w:p>
    <w:p w14:paraId="780B8454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方义：方中党参性平力缓，补脾而不腻，养胃而不燥;脾虚易致水湿内生，以白术健脾除湿，茯苓甘淡渗湿，顺应“脾喜燥恶湿”的生理特性，恢复脾胃运化之职;陈皮能行能降，具有理气运脾之功，半夏善化痰饮而降胃气，二陈相合，使脾气流通，胃气和降，与四君相伍，使补而不滞，行而不散。脾虚则易为肝气相乘，故加柴胡条达肝气，疏肝解郁，加白芍养血柔肝，缓急止痛。乌药行气止痛，健脾，消食，郁金活血止痛</w:t>
      </w:r>
      <w:r>
        <w:rPr>
          <w:rFonts w:ascii="仿宋" w:eastAsia="仿宋" w:hAnsi="仿宋"/>
          <w:sz w:val="24"/>
        </w:rPr>
        <w:t>。</w:t>
      </w:r>
      <w:r>
        <w:rPr>
          <w:rFonts w:ascii="仿宋" w:eastAsia="仿宋" w:hAnsi="仿宋" w:hint="eastAsia"/>
          <w:sz w:val="24"/>
        </w:rPr>
        <w:t>建曲健脾和胃，消食。因无呕血，祛三七、白及，加上药共奏疏肝解郁，健脾和胃之功。</w:t>
      </w:r>
    </w:p>
    <w:p w14:paraId="6CE08000" w14:textId="77777777" w:rsidR="00E320D6" w:rsidRDefault="00E320D6">
      <w:pPr>
        <w:rPr>
          <w:rFonts w:ascii="仿宋" w:eastAsia="仿宋" w:hAnsi="仿宋" w:hint="eastAsia"/>
          <w:sz w:val="24"/>
        </w:rPr>
      </w:pPr>
    </w:p>
    <w:p w14:paraId="7B9B7902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167E290E" w14:textId="77777777" w:rsidR="00E320D6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非萎缩性胃炎是以胃部慢性炎症改变为特征的一种常见疾病，表现为上腹部疼痛、食欲不佳、甚则解黑便等症状。患者诊断符合以上特征。《素问·痹论》曰：“饮食自倍，肠胃乃伤。”本证多因内伤饮食情志，致胃失所养而致。</w:t>
      </w:r>
    </w:p>
    <w:p w14:paraId="00F9C426" w14:textId="77777777" w:rsidR="00E320D6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胃脘胀痛,痛无定处,攻窜两胁,时有嗳气反酸,每因情志不畅时发作，恶心，呕吐物中带血丝，舌淡苔薄黄,脉弦数。思虑过度,肝失疏泄,肝气郁结,横逆犯胃,以致胃失和降,脾失健运,日久损及脾胃而发胃痛，恼怒后肝气化火，灼伤胃络，故见呕吐物带血，舌淡苔薄黄,脉弦数为肝胃郁滞，热伤血络之象。诊其为胃痛证属肝胃郁滞，热伤血络型。治宜疏肝解郁，健脾和胃，凉血止血。拟柴芍六君子汤加减，方中党参性平力缓，补脾而不腻，养胃而不燥;脾虚易致水湿内生，以白术健脾除湿，茯苓甘淡渗湿，顺应“脾喜燥恶湿”的生理特性，恢复脾胃运化之职;陈皮能行能降，具有理气运脾之功，半夏善化痰饮而降胃气，二陈相合，使脾气流通，胃气和降，与四君相伍，使补而不滞，行而不散。脾虚则易为肝气相乘，故加柴胡条达肝气，疏肝解郁，加白芍养血柔肝，缓急止痛。乌药行气止痛，健脾，消食，郁金活血止痛，茜草凉血止血,三七散瘀止血，白及</w:t>
      </w:r>
      <w:r>
        <w:rPr>
          <w:rFonts w:ascii="仿宋" w:eastAsia="仿宋" w:hAnsi="仿宋"/>
          <w:sz w:val="24"/>
        </w:rPr>
        <w:t>收敛止血。</w:t>
      </w:r>
      <w:r>
        <w:rPr>
          <w:rFonts w:ascii="仿宋" w:eastAsia="仿宋" w:hAnsi="仿宋" w:hint="eastAsia"/>
          <w:sz w:val="24"/>
        </w:rPr>
        <w:t>上药共奏疏肝解郁，健脾和胃，凉血止血之功。上药共奏疏肝解郁，健脾和胃，凉血止血之功。经上述治疗患者胃脘疼痛消失，病情好转。</w:t>
      </w:r>
    </w:p>
    <w:p w14:paraId="08E692EA" w14:textId="77777777" w:rsidR="00E320D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109EDBD3" w14:textId="77777777" w:rsidR="00E320D6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2021年 10月29日</w:t>
      </w:r>
    </w:p>
    <w:p w14:paraId="3963F133" w14:textId="77777777" w:rsidR="00E320D6" w:rsidRDefault="00E320D6">
      <w:pPr>
        <w:ind w:firstLineChars="2700" w:firstLine="5670"/>
      </w:pPr>
    </w:p>
    <w:sectPr w:rsidR="00E3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Courier New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302F1E"/>
    <w:rsid w:val="006D747B"/>
    <w:rsid w:val="00AE1518"/>
    <w:rsid w:val="00BB1AC0"/>
    <w:rsid w:val="00C92EDA"/>
    <w:rsid w:val="00CD028E"/>
    <w:rsid w:val="00DA01FE"/>
    <w:rsid w:val="00E320D6"/>
    <w:rsid w:val="0B3867AC"/>
    <w:rsid w:val="0C3D1AC7"/>
    <w:rsid w:val="0D6D6309"/>
    <w:rsid w:val="13BD31E1"/>
    <w:rsid w:val="15DC40AE"/>
    <w:rsid w:val="1EAD6BC1"/>
    <w:rsid w:val="1F941E10"/>
    <w:rsid w:val="369057E0"/>
    <w:rsid w:val="3D5D76D0"/>
    <w:rsid w:val="3E231451"/>
    <w:rsid w:val="422A5526"/>
    <w:rsid w:val="44DA44BC"/>
    <w:rsid w:val="45353880"/>
    <w:rsid w:val="4F5815CD"/>
    <w:rsid w:val="54421BFC"/>
    <w:rsid w:val="59CD202E"/>
    <w:rsid w:val="5FF54402"/>
    <w:rsid w:val="6484480A"/>
    <w:rsid w:val="68AD485D"/>
    <w:rsid w:val="7076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0CAD"/>
  <w15:docId w15:val="{04FC23FB-ABAC-4E35-9EC7-6AC91D14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uiPriority w:val="20"/>
    <w:qFormat/>
    <w:rPr>
      <w:color w:val="2932E1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2592</Characters>
  <Application>Microsoft Office Word</Application>
  <DocSecurity>0</DocSecurity>
  <Lines>21</Lines>
  <Paragraphs>6</Paragraphs>
  <ScaleCrop>false</ScaleCrop>
  <Company>MS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B72059425A77423BAF65BC0F6ACC6B53_12</vt:lpwstr>
  </property>
</Properties>
</file>