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89B2">
      <w:pPr>
        <w:rPr>
          <w:rFonts w:hint="eastAsia" w:ascii="黑体" w:hAnsi="黑体" w:eastAsia="黑体" w:cs="黑体"/>
          <w:kern w:val="0"/>
          <w:sz w:val="32"/>
          <w:szCs w:val="32"/>
          <w:lang w:val="en-US" w:eastAsia="zh-CN"/>
        </w:rPr>
      </w:pPr>
    </w:p>
    <w:p w14:paraId="754C02A0">
      <w:pPr>
        <w:rPr>
          <w:rFonts w:hint="eastAsia" w:ascii="黑体" w:eastAsia="黑体" w:cs="ArialUnicodeMS"/>
          <w:kern w:val="0"/>
          <w:sz w:val="72"/>
          <w:szCs w:val="72"/>
        </w:rPr>
      </w:pPr>
    </w:p>
    <w:p w14:paraId="57B957D7">
      <w:pPr>
        <w:rPr>
          <w:rFonts w:hint="eastAsia" w:ascii="黑体" w:eastAsia="黑体" w:cs="ArialUnicodeMS"/>
          <w:kern w:val="0"/>
          <w:sz w:val="72"/>
          <w:szCs w:val="72"/>
        </w:rPr>
      </w:pPr>
    </w:p>
    <w:p w14:paraId="3AA15793">
      <w:pPr>
        <w:jc w:val="center"/>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rPr>
        <w:t>广西中医药大学附属瑞康医院</w:t>
      </w:r>
    </w:p>
    <w:p w14:paraId="73134146">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14:paraId="0A5810A5">
      <w:pPr>
        <w:rPr>
          <w:rFonts w:hint="eastAsia" w:ascii="方正小标宋简体" w:eastAsia="方正小标宋简体" w:cs="ArialUnicodeMS"/>
          <w:kern w:val="0"/>
          <w:sz w:val="84"/>
          <w:szCs w:val="84"/>
        </w:rPr>
      </w:pPr>
    </w:p>
    <w:p w14:paraId="51AB6D19">
      <w:pPr>
        <w:rPr>
          <w:rFonts w:hint="eastAsia" w:ascii="ArialUnicodeMS" w:eastAsia="ArialUnicodeMS" w:cs="ArialUnicodeMS"/>
          <w:kern w:val="0"/>
          <w:sz w:val="84"/>
          <w:szCs w:val="84"/>
        </w:rPr>
      </w:pPr>
    </w:p>
    <w:p w14:paraId="7F75236B">
      <w:pPr>
        <w:rPr>
          <w:rFonts w:hint="eastAsia" w:ascii="ArialUnicodeMS" w:eastAsia="ArialUnicodeMS" w:cs="ArialUnicodeMS"/>
          <w:kern w:val="0"/>
          <w:sz w:val="84"/>
          <w:szCs w:val="84"/>
        </w:rPr>
      </w:pPr>
    </w:p>
    <w:p w14:paraId="56895918">
      <w:pPr>
        <w:rPr>
          <w:rFonts w:hint="eastAsia" w:ascii="ArialUnicodeMS" w:eastAsia="ArialUnicodeMS" w:cs="ArialUnicodeMS"/>
          <w:kern w:val="0"/>
          <w:sz w:val="84"/>
          <w:szCs w:val="84"/>
        </w:rPr>
      </w:pPr>
    </w:p>
    <w:p w14:paraId="1AE0A92E">
      <w:pPr>
        <w:rPr>
          <w:rFonts w:hint="eastAsia" w:ascii="ArialUnicodeMS" w:eastAsia="ArialUnicodeMS" w:cs="ArialUnicodeMS"/>
          <w:kern w:val="0"/>
          <w:sz w:val="84"/>
          <w:szCs w:val="84"/>
        </w:rPr>
      </w:pPr>
    </w:p>
    <w:p w14:paraId="0EC49032">
      <w:pPr>
        <w:jc w:val="center"/>
        <w:rPr>
          <w:rFonts w:hint="eastAsia" w:ascii="黑体" w:eastAsia="黑体" w:cs="黑体"/>
          <w:kern w:val="0"/>
          <w:sz w:val="44"/>
          <w:szCs w:val="44"/>
        </w:rPr>
      </w:pPr>
    </w:p>
    <w:p w14:paraId="3F85C32F">
      <w:pPr>
        <w:jc w:val="center"/>
        <w:rPr>
          <w:rFonts w:hint="eastAsia" w:ascii="黑体" w:eastAsia="黑体" w:cs="黑体"/>
          <w:kern w:val="0"/>
          <w:sz w:val="44"/>
          <w:szCs w:val="44"/>
        </w:rPr>
      </w:pPr>
    </w:p>
    <w:p w14:paraId="453E0DEE">
      <w:pPr>
        <w:keepNext w:val="0"/>
        <w:keepLines w:val="0"/>
        <w:pageBreakBefore w:val="0"/>
        <w:widowControl w:val="0"/>
        <w:kinsoku/>
        <w:wordWrap/>
        <w:overflowPunct/>
        <w:topLinePunct w:val="0"/>
        <w:bidi w:val="0"/>
        <w:snapToGrid/>
        <w:spacing w:line="560" w:lineRule="exact"/>
        <w:ind w:firstLine="646"/>
        <w:jc w:val="center"/>
        <w:textAlignment w:val="auto"/>
        <w:rPr>
          <w:rFonts w:hint="eastAsia" w:ascii="方正小标宋简体" w:eastAsia="方正小标宋简体"/>
          <w:b w:val="0"/>
          <w:bCs/>
          <w:sz w:val="44"/>
          <w:szCs w:val="44"/>
        </w:rPr>
      </w:pPr>
      <w:r>
        <w:rPr>
          <w:rFonts w:hint="eastAsia" w:ascii="方正小标宋简体" w:eastAsia="方正小标宋简体"/>
          <w:b w:val="0"/>
          <w:bCs/>
          <w:sz w:val="44"/>
          <w:szCs w:val="44"/>
        </w:rPr>
        <w:t>目</w:t>
      </w:r>
      <w:r>
        <w:rPr>
          <w:rFonts w:hint="eastAsia" w:ascii="方正小标宋简体" w:eastAsia="方正小标宋简体"/>
          <w:b w:val="0"/>
          <w:bCs/>
          <w:sz w:val="44"/>
          <w:szCs w:val="44"/>
          <w:lang w:val="en-US" w:eastAsia="zh-CN"/>
        </w:rPr>
        <w:t xml:space="preserve">  </w:t>
      </w:r>
      <w:r>
        <w:rPr>
          <w:rFonts w:hint="eastAsia" w:ascii="方正小标宋简体" w:eastAsia="方正小标宋简体"/>
          <w:b w:val="0"/>
          <w:bCs/>
          <w:sz w:val="44"/>
          <w:szCs w:val="44"/>
        </w:rPr>
        <w:t>录</w:t>
      </w:r>
    </w:p>
    <w:p w14:paraId="07D8AB1A">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b/>
          <w:sz w:val="32"/>
          <w:szCs w:val="32"/>
        </w:rPr>
      </w:pPr>
    </w:p>
    <w:p w14:paraId="6405FC2D">
      <w:pPr>
        <w:keepNext w:val="0"/>
        <w:keepLines w:val="0"/>
        <w:pageBreakBefore w:val="0"/>
        <w:widowControl w:val="0"/>
        <w:kinsoku/>
        <w:wordWrap/>
        <w:overflowPunct/>
        <w:topLinePunct w:val="0"/>
        <w:bidi w:val="0"/>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概况</w:t>
      </w:r>
    </w:p>
    <w:p w14:paraId="0C0D7776">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02BA6579">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03CAF339">
      <w:pPr>
        <w:keepNext w:val="0"/>
        <w:keepLines w:val="0"/>
        <w:pageBreakBefore w:val="0"/>
        <w:widowControl w:val="0"/>
        <w:kinsoku/>
        <w:wordWrap/>
        <w:overflowPunct/>
        <w:topLinePunct w:val="0"/>
        <w:bidi w:val="0"/>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31BF7110">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表一：收入支出决算总表</w:t>
      </w:r>
    </w:p>
    <w:p w14:paraId="7402B35E">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表二：收入决算表</w:t>
      </w:r>
    </w:p>
    <w:p w14:paraId="3E880D76">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表三：支出决算表</w:t>
      </w:r>
    </w:p>
    <w:p w14:paraId="37364EC3">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14:paraId="4B156D59">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5536D577">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452D5195">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206E9BB8">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2039A5D1">
      <w:pPr>
        <w:keepNext w:val="0"/>
        <w:keepLines w:val="0"/>
        <w:pageBreakBefore w:val="0"/>
        <w:widowControl w:val="0"/>
        <w:kinsoku/>
        <w:wordWrap/>
        <w:overflowPunct/>
        <w:topLinePunct w:val="0"/>
        <w:bidi w:val="0"/>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381303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年度收入支出决算总体情况。</w:t>
      </w:r>
    </w:p>
    <w:p w14:paraId="54D9F41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32E356C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4EB8AEB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年度政府性基金支出决算情况。</w:t>
      </w:r>
    </w:p>
    <w:p w14:paraId="15AC780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3E35F78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4B3B9C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27A094F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D9F62A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3BE91774">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eastAsia="仿宋_GB2312"/>
        </w:rPr>
      </w:pPr>
    </w:p>
    <w:p w14:paraId="7FCE31D0">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377FDF9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50B71CCE">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0827E00F">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1748F322">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4543C97F">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B4EA4B5">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2A54BF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00451E98">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21BB07C7">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43A82A9F">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3BBD0F8">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1E80080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3083657">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395715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37004B75">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1587A829">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76C767DE">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46F3E117">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3D7F3D79">
      <w:pPr>
        <w:keepNext w:val="0"/>
        <w:keepLines w:val="0"/>
        <w:pageBreakBefore w:val="0"/>
        <w:widowControl w:val="0"/>
        <w:kinsoku/>
        <w:wordWrap/>
        <w:overflowPunct/>
        <w:topLinePunct w:val="0"/>
        <w:bidi w:val="0"/>
        <w:snapToGrid/>
        <w:spacing w:line="560" w:lineRule="exact"/>
        <w:ind w:firstLine="646"/>
        <w:jc w:val="both"/>
        <w:textAlignment w:val="auto"/>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第一部分：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概况</w:t>
      </w:r>
    </w:p>
    <w:p w14:paraId="0419D93B">
      <w:pPr>
        <w:keepNext w:val="0"/>
        <w:keepLines w:val="0"/>
        <w:pageBreakBefore w:val="0"/>
        <w:widowControl w:val="0"/>
        <w:kinsoku/>
        <w:wordWrap/>
        <w:overflowPunct/>
        <w:topLinePunct w:val="0"/>
        <w:bidi w:val="0"/>
        <w:snapToGrid/>
        <w:spacing w:line="560" w:lineRule="exact"/>
        <w:ind w:firstLine="646"/>
        <w:textAlignment w:val="auto"/>
        <w:rPr>
          <w:rFonts w:hint="eastAsia" w:ascii="黑体" w:hAnsi="黑体" w:eastAsia="黑体"/>
          <w:sz w:val="32"/>
          <w:szCs w:val="32"/>
        </w:rPr>
      </w:pPr>
    </w:p>
    <w:p w14:paraId="24A05A83">
      <w:pPr>
        <w:keepNext w:val="0"/>
        <w:keepLines w:val="0"/>
        <w:pageBreakBefore w:val="0"/>
        <w:widowControl w:val="0"/>
        <w:kinsoku/>
        <w:wordWrap/>
        <w:overflowPunct/>
        <w:topLinePunct w:val="0"/>
        <w:bidi w:val="0"/>
        <w:snapToGrid/>
        <w:spacing w:line="560" w:lineRule="exact"/>
        <w:ind w:firstLine="646"/>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43B9EE09">
      <w:pPr>
        <w:ind w:firstLine="646"/>
        <w:rPr>
          <w:rFonts w:hint="eastAsia" w:ascii="仿宋_GB2312" w:eastAsia="仿宋_GB2312"/>
          <w:sz w:val="32"/>
          <w:szCs w:val="32"/>
        </w:rPr>
      </w:pPr>
      <w:r>
        <w:rPr>
          <w:rFonts w:hint="eastAsia" w:ascii="仿宋_GB2312" w:eastAsia="仿宋_GB2312"/>
          <w:sz w:val="32"/>
          <w:szCs w:val="32"/>
        </w:rPr>
        <w:t>为人民身体健康提供医疗与预防保健服务。按照《医疗机构执业许可证》的规定从事相关疾病诊断、治疗以及临床教学、见习、实习等活动。</w:t>
      </w:r>
    </w:p>
    <w:p w14:paraId="2DBCA5DA">
      <w:pPr>
        <w:keepNext w:val="0"/>
        <w:keepLines w:val="0"/>
        <w:pageBreakBefore w:val="0"/>
        <w:widowControl w:val="0"/>
        <w:kinsoku/>
        <w:wordWrap/>
        <w:overflowPunct/>
        <w:topLinePunct w:val="0"/>
        <w:bidi w:val="0"/>
        <w:snapToGrid/>
        <w:spacing w:line="560" w:lineRule="exact"/>
        <w:ind w:firstLine="646"/>
        <w:textAlignment w:val="auto"/>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59A4CD1C">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现有临床科室55个，医技科室14个，社区卫生服务中心2个。国家临床重点专科5个（骨伤科、脾胃病科、肝病科、肿瘤科，护理学）；国家中医药局重点学科7个（中西医结合临床、中医骨伤科学、中医皮肤病学、中医老年病学、中医传染病学、中医预防医学、中医全科医学）；国家中医药局重点专科9个（骨伤科、脑病科、脾胃病科、肿瘤科、心血管科、肝病科、妇科、重症医学科、护理学）；国家中医药局重点研究室1个（中医整脊疗法）；自治区重点学科3个（急诊医学、呼吸与重症医学科、传染病学）；广西临床重点专科8个（康复医学科、骨伤科、护理学、检验科、创伤外科、呼吸与危重症医学科、泌尿外科、胸心血管外科）；自治区中医药局重点学科17个（中西医结合基础、中西医结合临床、中医传染病学、中医肺病学、中医妇科学、中医肝胆病学、中医骨伤科学、中医护理学、中医老年医学、中医脾胃病学、中医全科医学、中医心病学、中医康复学、中医肿瘤病学、针灸学、中医肾病学、中医脑病学）；自治区中医药局重点专科10个（中西医结合肾病科、中西医结合肺病科、中西医结合乳腺病科、中西医结合消化内科、肿瘤科、呼吸科、内分泌科、耳鼻喉头颈外科、产科、治未病中心）；广西区域中医诊疗中心3个（肺病科、妇科、骨伤科）；广西临床医学研究中心1个（广西中西医结合肾脏疾病临床医学研究中心）；自治区中医专业医疗质控中心10个（中医肺病质控中心、中医重症医学质控中心、中医外科质控中心、中医妇科质控中心、中医骨伤专业质控中心、中医肿瘤质控中心、中医检验质控中心、中医整形美容质控中心、针灸质控中心、中医康复质控中心）。医院坚持以病人的健康和生命安全为中心，全周期为人民群众的健康提供更加优质、便捷、安全、高效和透明的医疗保健服务，切实增强患者看病就医的获得感。未来，医院将秉承“衷中参西 厚德精医”的院训，坚持中西医并重，平衡协调快速发展的办院方向，立足于把医院建成现代医学技术先进，中医药特色鲜明，中西医结合优势突出，全国一流，集医疗、教学、科研、预防保健、养生康复为一体的高水平国家中西医协同“旗舰”医院。</w:t>
      </w:r>
    </w:p>
    <w:p w14:paraId="4A6401DF">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rPr>
      </w:pPr>
    </w:p>
    <w:p w14:paraId="7FE6F3FE">
      <w:pPr>
        <w:keepNext w:val="0"/>
        <w:keepLines w:val="0"/>
        <w:pageBreakBefore w:val="0"/>
        <w:widowControl w:val="0"/>
        <w:kinsoku/>
        <w:wordWrap/>
        <w:overflowPunct/>
        <w:topLinePunct w:val="0"/>
        <w:bidi w:val="0"/>
        <w:snapToGrid/>
        <w:spacing w:line="560" w:lineRule="exact"/>
        <w:jc w:val="center"/>
        <w:textAlignment w:val="auto"/>
        <w:rPr>
          <w:rFonts w:hint="eastAsia"/>
        </w:rPr>
      </w:pPr>
    </w:p>
    <w:p w14:paraId="4F4D5CFA">
      <w:pPr>
        <w:keepNext w:val="0"/>
        <w:keepLines w:val="0"/>
        <w:pageBreakBefore w:val="0"/>
        <w:widowControl w:val="0"/>
        <w:kinsoku/>
        <w:wordWrap/>
        <w:overflowPunct/>
        <w:topLinePunct w:val="0"/>
        <w:bidi w:val="0"/>
        <w:snapToGrid/>
        <w:spacing w:line="560" w:lineRule="exact"/>
        <w:jc w:val="center"/>
        <w:textAlignment w:val="auto"/>
      </w:pPr>
    </w:p>
    <w:p w14:paraId="33D13DC4">
      <w:pPr>
        <w:keepNext w:val="0"/>
        <w:keepLines w:val="0"/>
        <w:pageBreakBefore w:val="0"/>
        <w:widowControl w:val="0"/>
        <w:kinsoku/>
        <w:wordWrap/>
        <w:overflowPunct/>
        <w:topLinePunct w:val="0"/>
        <w:bidi w:val="0"/>
        <w:snapToGrid/>
        <w:spacing w:line="560" w:lineRule="exact"/>
        <w:jc w:val="both"/>
        <w:textAlignment w:val="auto"/>
      </w:pPr>
    </w:p>
    <w:p w14:paraId="3E494B85">
      <w:pPr>
        <w:keepNext w:val="0"/>
        <w:keepLines w:val="0"/>
        <w:pageBreakBefore w:val="0"/>
        <w:widowControl w:val="0"/>
        <w:kinsoku/>
        <w:wordWrap/>
        <w:overflowPunct/>
        <w:topLinePunct w:val="0"/>
        <w:bidi w:val="0"/>
        <w:snapToGrid/>
        <w:spacing w:line="560" w:lineRule="exact"/>
        <w:jc w:val="center"/>
        <w:textAlignment w:val="auto"/>
      </w:pPr>
    </w:p>
    <w:p w14:paraId="4BE32C19">
      <w:pPr>
        <w:keepNext w:val="0"/>
        <w:keepLines w:val="0"/>
        <w:pageBreakBefore w:val="0"/>
        <w:widowControl w:val="0"/>
        <w:kinsoku/>
        <w:wordWrap/>
        <w:overflowPunct/>
        <w:topLinePunct w:val="0"/>
        <w:bidi w:val="0"/>
        <w:snapToGrid/>
        <w:spacing w:line="560" w:lineRule="exact"/>
        <w:jc w:val="center"/>
        <w:textAlignment w:val="auto"/>
      </w:pPr>
    </w:p>
    <w:p w14:paraId="6DFEDD56">
      <w:pPr>
        <w:keepNext w:val="0"/>
        <w:keepLines w:val="0"/>
        <w:pageBreakBefore w:val="0"/>
        <w:widowControl w:val="0"/>
        <w:kinsoku/>
        <w:wordWrap/>
        <w:overflowPunct/>
        <w:topLinePunct w:val="0"/>
        <w:bidi w:val="0"/>
        <w:snapToGrid/>
        <w:spacing w:line="560" w:lineRule="exact"/>
        <w:jc w:val="center"/>
        <w:textAlignment w:val="auto"/>
      </w:pPr>
    </w:p>
    <w:p w14:paraId="699437BD">
      <w:pPr>
        <w:keepNext w:val="0"/>
        <w:keepLines w:val="0"/>
        <w:pageBreakBefore w:val="0"/>
        <w:widowControl w:val="0"/>
        <w:kinsoku/>
        <w:wordWrap/>
        <w:overflowPunct/>
        <w:topLinePunct w:val="0"/>
        <w:bidi w:val="0"/>
        <w:snapToGrid/>
        <w:spacing w:line="560" w:lineRule="exact"/>
        <w:jc w:val="center"/>
        <w:textAlignment w:val="auto"/>
      </w:pPr>
    </w:p>
    <w:p w14:paraId="0DD7B287">
      <w:pPr>
        <w:keepNext w:val="0"/>
        <w:keepLines w:val="0"/>
        <w:pageBreakBefore w:val="0"/>
        <w:widowControl w:val="0"/>
        <w:kinsoku/>
        <w:wordWrap/>
        <w:overflowPunct/>
        <w:topLinePunct w:val="0"/>
        <w:bidi w:val="0"/>
        <w:snapToGrid/>
        <w:spacing w:line="560" w:lineRule="exact"/>
        <w:jc w:val="left"/>
        <w:textAlignment w:val="auto"/>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lang w:val="en-US" w:eastAsia="zh-CN"/>
        </w:rPr>
        <w:t xml:space="preserve">    </w:t>
      </w:r>
      <w:r>
        <w:rPr>
          <w:rFonts w:hint="eastAsia" w:ascii="黑体" w:hAnsi="黑体" w:eastAsia="黑体"/>
          <w:sz w:val="32"/>
          <w:szCs w:val="32"/>
        </w:rPr>
        <w:t>第二部分：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57DEA25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p>
    <w:p w14:paraId="5B600BFA">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表一：收入支出决算总表</w:t>
      </w:r>
    </w:p>
    <w:p w14:paraId="34DDCCD5">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表二：收入决算表</w:t>
      </w:r>
    </w:p>
    <w:p w14:paraId="6AEE5C30">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表三：支出决算表</w:t>
      </w:r>
    </w:p>
    <w:p w14:paraId="043177B6">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表四：财政拨款收入支出决算总表</w:t>
      </w:r>
    </w:p>
    <w:p w14:paraId="22493418">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表五：一般公共预算财政拨款收入支出决算表</w:t>
      </w:r>
    </w:p>
    <w:p w14:paraId="59712963">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表六：一般公共预算财政拨款基本支出决算明细表</w:t>
      </w:r>
    </w:p>
    <w:p w14:paraId="7DD22403">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表七：政府性基金预算财政拨款收入支出决算表</w:t>
      </w:r>
    </w:p>
    <w:p w14:paraId="0B3BA763">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表八：国有资本经营预算财政拨款支出决算表</w:t>
      </w:r>
    </w:p>
    <w:p w14:paraId="71136ABF">
      <w:pPr>
        <w:spacing w:line="240" w:lineRule="auto"/>
        <w:ind w:firstLine="640" w:firstLineChars="200"/>
        <w:rPr>
          <w:rFonts w:hint="eastAsia" w:ascii="仿宋_GB2312" w:eastAsia="仿宋_GB2312"/>
          <w:b/>
          <w:sz w:val="32"/>
          <w:szCs w:val="32"/>
        </w:rPr>
        <w:sectPr>
          <w:footerReference r:id="rId3" w:type="default"/>
          <w:footerReference r:id="rId4" w:type="even"/>
          <w:pgSz w:w="11906" w:h="16838"/>
          <w:pgMar w:top="1701" w:right="1417" w:bottom="1417" w:left="1701" w:header="851" w:footer="992" w:gutter="0"/>
          <w:pgNumType w:fmt="decimal"/>
          <w:cols w:space="720" w:num="1"/>
          <w:titlePg/>
          <w:rtlGutter w:val="0"/>
          <w:docGrid w:type="lines" w:linePitch="312" w:charSpace="0"/>
        </w:sectPr>
      </w:pPr>
      <w:r>
        <w:rPr>
          <w:rFonts w:hint="eastAsia" w:ascii="仿宋_GB2312" w:hAnsi="黑体" w:eastAsia="仿宋_GB2312"/>
          <w:sz w:val="32"/>
          <w:szCs w:val="32"/>
        </w:rPr>
        <w:t>详见附件：自治区本级202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年度部门决算公开附</w:t>
      </w:r>
      <w:r>
        <w:rPr>
          <w:rFonts w:hint="eastAsia" w:ascii="仿宋_GB2312" w:hAnsi="黑体" w:eastAsia="仿宋_GB2312"/>
          <w:sz w:val="32"/>
          <w:szCs w:val="32"/>
          <w:lang w:val="en-US" w:eastAsia="zh-CN"/>
        </w:rPr>
        <w:t>表</w:t>
      </w:r>
    </w:p>
    <w:p w14:paraId="740FC1C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352748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p>
    <w:p w14:paraId="323CA23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3E17C7E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218,326.98</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213,836.14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3,654.10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48FBC8C1">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16,966.21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其中：5,536.90万元</w:t>
      </w:r>
      <w:r>
        <w:rPr>
          <w:rFonts w:hint="eastAsia" w:ascii="仿宋_GB2312" w:eastAsia="仿宋_GB2312" w:cs="仿宋_GB2312"/>
          <w:kern w:val="0"/>
          <w:sz w:val="32"/>
          <w:szCs w:val="32"/>
        </w:rPr>
        <w:t>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8,887.94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110</w:t>
      </w:r>
      <w:r>
        <w:rPr>
          <w:rFonts w:hint="eastAsia" w:ascii="仿宋_GB2312" w:hAnsi="黑体" w:eastAsia="仿宋_GB2312" w:cs="仿宋_GB2312"/>
          <w:kern w:val="0"/>
          <w:sz w:val="32"/>
          <w:szCs w:val="32"/>
          <w:highlight w:val="none"/>
          <w:lang w:val="en-US" w:eastAsia="zh-CN"/>
        </w:rPr>
        <w:t>.02</w:t>
      </w:r>
      <w:r>
        <w:rPr>
          <w:rFonts w:hint="eastAsia" w:ascii="仿宋_GB2312" w:hAnsi="黑体" w:eastAsia="仿宋_GB2312" w:cs="仿宋_GB2312"/>
          <w:kern w:val="0"/>
          <w:sz w:val="32"/>
          <w:szCs w:val="32"/>
          <w:highlight w:val="none"/>
        </w:rPr>
        <w:t>%，主要是</w:t>
      </w:r>
      <w:r>
        <w:rPr>
          <w:rFonts w:hint="eastAsia" w:ascii="仿宋_GB2312" w:hAnsi="黑体" w:eastAsia="仿宋_GB2312" w:cs="仿宋_GB2312"/>
          <w:kern w:val="0"/>
          <w:sz w:val="32"/>
          <w:szCs w:val="32"/>
          <w:highlight w:val="none"/>
          <w:lang w:val="en-US" w:eastAsia="zh-CN"/>
        </w:rPr>
        <w:t>本年新增</w:t>
      </w:r>
      <w:r>
        <w:rPr>
          <w:rFonts w:hint="eastAsia" w:ascii="仿宋_GB2312" w:hAnsi="黑体" w:eastAsia="仿宋_GB2312" w:cs="仿宋_GB2312"/>
          <w:kern w:val="0"/>
          <w:sz w:val="32"/>
          <w:szCs w:val="32"/>
          <w:highlight w:val="none"/>
        </w:rPr>
        <w:t>广西中医药大学附属瑞康医院凤岭南医院医技综合楼</w:t>
      </w:r>
      <w:r>
        <w:rPr>
          <w:rFonts w:hint="eastAsia" w:ascii="仿宋_GB2312" w:hAnsi="黑体" w:eastAsia="仿宋_GB2312" w:cs="仿宋_GB2312"/>
          <w:kern w:val="0"/>
          <w:sz w:val="32"/>
          <w:szCs w:val="32"/>
          <w:highlight w:val="none"/>
          <w:lang w:val="en-US" w:eastAsia="zh-CN"/>
        </w:rPr>
        <w:t>财政拨款5000万元</w:t>
      </w:r>
      <w:r>
        <w:rPr>
          <w:rFonts w:hint="eastAsia" w:ascii="仿宋_GB2312" w:hAnsi="黑体" w:eastAsia="仿宋_GB2312" w:cs="仿宋_GB2312"/>
          <w:kern w:val="0"/>
          <w:sz w:val="32"/>
          <w:szCs w:val="32"/>
          <w:highlight w:val="none"/>
        </w:rPr>
        <w:t>。</w:t>
      </w:r>
    </w:p>
    <w:p w14:paraId="3BF41396">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33,000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33,000万</w:t>
      </w:r>
      <w:r>
        <w:rPr>
          <w:rFonts w:hint="eastAsia" w:ascii="仿宋_GB2312" w:hAnsi="黑体" w:eastAsia="仿宋_GB2312" w:cs="仿宋_GB2312"/>
          <w:kern w:val="0"/>
          <w:sz w:val="32"/>
          <w:szCs w:val="32"/>
        </w:rPr>
        <w:t>元，主要原因是2023年2月17日下达2023年广西壮族自治区政府社会领域专项债券（一期）——2023年广西壮族自治区政府专项债券（四期）20年期</w:t>
      </w:r>
      <w:r>
        <w:rPr>
          <w:rFonts w:hint="eastAsia" w:ascii="仿宋_GB2312" w:hAnsi="黑体" w:eastAsia="仿宋_GB2312" w:cs="仿宋_GB2312"/>
          <w:kern w:val="0"/>
          <w:sz w:val="32"/>
          <w:szCs w:val="32"/>
          <w:lang w:val="en-US" w:eastAsia="zh-CN"/>
        </w:rPr>
        <w:t>政府专项</w:t>
      </w:r>
      <w:r>
        <w:rPr>
          <w:rFonts w:hint="eastAsia" w:ascii="仿宋_GB2312" w:hAnsi="黑体" w:eastAsia="仿宋_GB2312" w:cs="仿宋_GB2312"/>
          <w:kern w:val="0"/>
          <w:sz w:val="32"/>
          <w:szCs w:val="32"/>
        </w:rPr>
        <w:t>债券，用于广西中医药大学附属瑞康医院凤岭南医院项目建设。</w:t>
      </w:r>
    </w:p>
    <w:p w14:paraId="34F6024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本年无</w:t>
      </w:r>
      <w:r>
        <w:rPr>
          <w:rFonts w:hint="eastAsia" w:ascii="仿宋_GB2312" w:eastAsia="仿宋_GB2312" w:cs="仿宋_GB2312"/>
          <w:kern w:val="0"/>
          <w:sz w:val="32"/>
          <w:szCs w:val="32"/>
        </w:rPr>
        <w:t>国有资本经营预算财政拨款收入</w:t>
      </w:r>
      <w:r>
        <w:rPr>
          <w:rFonts w:hint="eastAsia" w:ascii="仿宋_GB2312" w:hAnsi="黑体" w:eastAsia="仿宋_GB2312" w:cs="仿宋_GB2312"/>
          <w:kern w:val="0"/>
          <w:sz w:val="32"/>
          <w:szCs w:val="32"/>
        </w:rPr>
        <w:t>。</w:t>
      </w:r>
    </w:p>
    <w:p w14:paraId="4F42A3F0">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120,833.40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10,142.84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9.16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w:t>
      </w:r>
    </w:p>
    <w:p w14:paraId="43696E88">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本年无</w:t>
      </w:r>
      <w:r>
        <w:rPr>
          <w:rFonts w:hint="eastAsia" w:ascii="仿宋_GB2312" w:eastAsia="仿宋_GB2312" w:cs="仿宋_GB2312"/>
          <w:kern w:val="0"/>
          <w:sz w:val="32"/>
          <w:szCs w:val="32"/>
        </w:rPr>
        <w:t>经营收入</w:t>
      </w:r>
      <w:r>
        <w:rPr>
          <w:rFonts w:hint="eastAsia" w:ascii="仿宋_GB2312" w:hAnsi="黑体" w:eastAsia="仿宋_GB2312" w:cs="仿宋_GB2312"/>
          <w:kern w:val="0"/>
          <w:sz w:val="32"/>
          <w:szCs w:val="32"/>
        </w:rPr>
        <w:t>。</w:t>
      </w:r>
    </w:p>
    <w:p w14:paraId="26AA8F5F">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43,036.53</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p>
    <w:p w14:paraId="73DA80C4">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1,112.32</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p>
    <w:p w14:paraId="7B8D3256">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3,378.53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751.27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28.60</w:t>
      </w:r>
      <w:r>
        <w:rPr>
          <w:rFonts w:hint="eastAsia" w:ascii="仿宋_GB2312" w:hAnsi="黑体" w:eastAsia="仿宋_GB2312" w:cs="仿宋_GB2312"/>
          <w:kern w:val="0"/>
          <w:sz w:val="32"/>
          <w:szCs w:val="32"/>
        </w:rPr>
        <w:t>%。</w:t>
      </w:r>
    </w:p>
    <w:p w14:paraId="639B9744">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218,326.98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215,373.46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13,142.03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698926A9">
      <w:pPr>
        <w:numPr>
          <w:ilvl w:val="0"/>
          <w:numId w:val="0"/>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社会保障和就业支出126.93万元，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增加101.48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增长398.74%。</w:t>
      </w:r>
    </w:p>
    <w:p w14:paraId="3951092B">
      <w:pPr>
        <w:numPr>
          <w:ilvl w:val="0"/>
          <w:numId w:val="0"/>
        </w:numPr>
        <w:autoSpaceDE w:val="0"/>
        <w:autoSpaceDN w:val="0"/>
        <w:adjustRightInd w:val="0"/>
        <w:spacing w:line="560" w:lineRule="exact"/>
        <w:ind w:firstLine="640"/>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2.卫生健康支出181,965.14万元，较2022年度决算数减少19,983.13万元，下降9.9%。</w:t>
      </w:r>
    </w:p>
    <w:p w14:paraId="0E3729CD">
      <w:pPr>
        <w:numPr>
          <w:ilvl w:val="0"/>
          <w:numId w:val="0"/>
        </w:numPr>
        <w:autoSpaceDE w:val="0"/>
        <w:autoSpaceDN w:val="0"/>
        <w:adjustRightInd w:val="0"/>
        <w:spacing w:line="560" w:lineRule="exact"/>
        <w:ind w:firstLine="640" w:firstLineChars="0"/>
        <w:jc w:val="both"/>
        <w:rPr>
          <w:rFonts w:hint="eastAsia" w:ascii="仿宋_GB2312" w:eastAsia="仿宋_GB2312" w:cs="仿宋_GB2312"/>
          <w:kern w:val="0"/>
          <w:sz w:val="32"/>
          <w:szCs w:val="32"/>
        </w:rPr>
      </w:pPr>
      <w:r>
        <w:rPr>
          <w:rFonts w:hint="eastAsia" w:ascii="仿宋_GB2312" w:hAnsi="黑体" w:eastAsia="仿宋_GB2312" w:cs="仿宋_GB2312"/>
          <w:kern w:val="0"/>
          <w:sz w:val="32"/>
          <w:szCs w:val="32"/>
          <w:lang w:val="en-US" w:eastAsia="zh-CN"/>
        </w:rPr>
        <w:t>3.住房保障支出281.39万元，较2022年度决算数增加23.68万元，增长9.19%。</w:t>
      </w:r>
    </w:p>
    <w:p w14:paraId="0DF16BB0">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其他支出33,000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主要是</w:t>
      </w:r>
      <w:r>
        <w:rPr>
          <w:rFonts w:hint="eastAsia" w:ascii="仿宋_GB2312" w:eastAsia="仿宋_GB2312" w:cs="仿宋_GB2312"/>
          <w:kern w:val="0"/>
          <w:sz w:val="32"/>
          <w:szCs w:val="32"/>
        </w:rPr>
        <w:t>政府性基金预算财政拨款</w:t>
      </w:r>
      <w:r>
        <w:rPr>
          <w:rFonts w:hint="eastAsia" w:ascii="仿宋_GB2312" w:eastAsia="仿宋_GB2312" w:cs="仿宋_GB2312"/>
          <w:kern w:val="0"/>
          <w:sz w:val="32"/>
          <w:szCs w:val="32"/>
          <w:lang w:val="en-US" w:eastAsia="zh-CN"/>
        </w:rPr>
        <w:t>支出，2023年广西壮族自治区政府社会领域专项债券（一期）——2023年广西壮族自治区政府专项债券（四期）政府专项债券支出，</w:t>
      </w:r>
      <w:r>
        <w:rPr>
          <w:rFonts w:hint="eastAsia" w:ascii="仿宋_GB2312" w:hAnsi="黑体" w:eastAsia="仿宋_GB2312" w:cs="仿宋_GB2312"/>
          <w:kern w:val="0"/>
          <w:sz w:val="32"/>
          <w:szCs w:val="32"/>
        </w:rPr>
        <w:t>用于广西中医药大学附属瑞康医院凤岭南医院项目建设。</w:t>
      </w:r>
    </w:p>
    <w:p w14:paraId="35C462B2">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2,953.52</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960.54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26.58</w:t>
      </w:r>
      <w:r>
        <w:rPr>
          <w:rFonts w:hint="eastAsia" w:ascii="仿宋_GB2312" w:hAnsi="黑体" w:eastAsia="仿宋_GB2312" w:cs="仿宋_GB2312"/>
          <w:kern w:val="0"/>
          <w:sz w:val="32"/>
          <w:szCs w:val="32"/>
        </w:rPr>
        <w:t>%。</w:t>
      </w:r>
    </w:p>
    <w:p w14:paraId="50C5872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45B298D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广西中医药大学附属瑞康医院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17,483.11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10,062.94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135.62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651.41</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16,831.70</w:t>
      </w:r>
      <w:r>
        <w:rPr>
          <w:rFonts w:hint="eastAsia" w:ascii="仿宋_GB2312" w:eastAsia="仿宋_GB2312" w:cs="仿宋_GB2312"/>
          <w:kern w:val="0"/>
          <w:sz w:val="32"/>
          <w:szCs w:val="32"/>
        </w:rPr>
        <w:t>万元。</w:t>
      </w:r>
    </w:p>
    <w:p w14:paraId="2F85D35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rPr>
        <w:t>广西中医药大学附属瑞康医院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5，845.42</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17,483.11</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299.09</w:t>
      </w:r>
      <w:r>
        <w:rPr>
          <w:rFonts w:hint="eastAsia" w:ascii="仿宋_GB2312" w:hAnsi="黑体" w:eastAsia="仿宋_GB2312" w:cs="仿宋_GB2312"/>
          <w:kern w:val="0"/>
          <w:sz w:val="32"/>
          <w:szCs w:val="32"/>
        </w:rPr>
        <w:t>%。</w:t>
      </w:r>
    </w:p>
    <w:p w14:paraId="0474C890">
      <w:pPr>
        <w:numPr>
          <w:ilvl w:val="0"/>
          <w:numId w:val="0"/>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（一）</w:t>
      </w:r>
      <w:r>
        <w:rPr>
          <w:rFonts w:hint="eastAsia" w:ascii="仿宋_GB2312" w:hAnsi="黑体" w:eastAsia="仿宋_GB2312" w:cs="仿宋_GB2312"/>
          <w:kern w:val="0"/>
          <w:sz w:val="32"/>
          <w:szCs w:val="32"/>
          <w:lang w:val="en-US" w:eastAsia="zh-CN"/>
        </w:rPr>
        <w:t>社会保障和就业支出</w:t>
      </w:r>
      <w:r>
        <w:rPr>
          <w:rFonts w:hint="default" w:ascii="仿宋_GB2312" w:eastAsia="仿宋_GB2312" w:cs="仿宋_GB2312"/>
          <w:kern w:val="0"/>
          <w:sz w:val="32"/>
          <w:szCs w:val="32"/>
          <w:lang w:val="en-US" w:eastAsia="zh-CN" w:bidi="ar-SA"/>
        </w:rPr>
        <w:t>年初预算为</w:t>
      </w:r>
      <w:r>
        <w:rPr>
          <w:rFonts w:hint="eastAsia" w:ascii="仿宋_GB2312" w:eastAsia="仿宋_GB2312" w:cs="仿宋_GB2312"/>
          <w:kern w:val="0"/>
          <w:sz w:val="32"/>
          <w:szCs w:val="32"/>
          <w:lang w:val="en-US" w:eastAsia="zh-CN" w:bidi="ar-SA"/>
        </w:rPr>
        <w:t>0</w:t>
      </w:r>
      <w:r>
        <w:rPr>
          <w:rFonts w:hint="default" w:ascii="仿宋_GB2312" w:eastAsia="仿宋_GB2312" w:cs="仿宋_GB2312"/>
          <w:kern w:val="0"/>
          <w:sz w:val="32"/>
          <w:szCs w:val="32"/>
          <w:lang w:val="en-US" w:eastAsia="zh-CN" w:bidi="ar-SA"/>
        </w:rPr>
        <w:t>万元，支出决算为</w:t>
      </w:r>
      <w:r>
        <w:rPr>
          <w:rFonts w:hint="eastAsia" w:ascii="仿宋_GB2312" w:eastAsia="仿宋_GB2312" w:cs="仿宋_GB2312"/>
          <w:kern w:val="0"/>
          <w:sz w:val="32"/>
          <w:szCs w:val="32"/>
          <w:lang w:val="en-US" w:eastAsia="zh-CN" w:bidi="ar-SA"/>
        </w:rPr>
        <w:t>126.93</w:t>
      </w:r>
      <w:r>
        <w:rPr>
          <w:rFonts w:hint="default" w:ascii="仿宋_GB2312" w:eastAsia="仿宋_GB2312" w:cs="仿宋_GB2312"/>
          <w:kern w:val="0"/>
          <w:sz w:val="32"/>
          <w:szCs w:val="32"/>
          <w:lang w:val="en-US" w:eastAsia="zh-CN" w:bidi="ar-SA"/>
        </w:rPr>
        <w:t>万元</w:t>
      </w:r>
      <w:r>
        <w:rPr>
          <w:rFonts w:hint="eastAsia" w:ascii="仿宋_GB2312" w:eastAsia="仿宋_GB2312" w:cs="仿宋_GB2312"/>
          <w:kern w:val="0"/>
          <w:sz w:val="32"/>
          <w:szCs w:val="32"/>
          <w:lang w:val="en-US" w:eastAsia="zh-CN" w:bidi="ar-SA"/>
        </w:rPr>
        <w:t>。</w:t>
      </w:r>
    </w:p>
    <w:p w14:paraId="38B61D87">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val="en-US" w:eastAsia="zh-CN" w:bidi="ar-SA"/>
        </w:rPr>
        <w:t>死亡抚恤123.73万，主要用于病故人员家属的一次性抚恤金和遗属生活补助。</w:t>
      </w:r>
    </w:p>
    <w:p w14:paraId="240F156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ascii="仿宋_GB2312" w:eastAsia="仿宋_GB2312" w:cs="仿宋_GB2312"/>
          <w:kern w:val="0"/>
          <w:sz w:val="32"/>
          <w:szCs w:val="32"/>
          <w:highlight w:val="none"/>
          <w:lang w:val="en-US" w:eastAsia="zh-CN" w:bidi="ar-SA"/>
        </w:rPr>
      </w:pPr>
      <w:r>
        <w:rPr>
          <w:rFonts w:hint="eastAsia" w:ascii="仿宋_GB2312" w:eastAsia="仿宋_GB2312" w:cs="仿宋_GB2312"/>
          <w:kern w:val="0"/>
          <w:sz w:val="32"/>
          <w:szCs w:val="32"/>
          <w:lang w:val="en-US" w:eastAsia="zh-CN" w:bidi="ar-SA"/>
        </w:rPr>
        <w:t>2.博士后日常经费</w:t>
      </w:r>
      <w:r>
        <w:rPr>
          <w:rFonts w:hint="eastAsia" w:ascii="仿宋_GB2312" w:eastAsia="仿宋_GB2312" w:cs="仿宋_GB2312"/>
          <w:kern w:val="0"/>
          <w:sz w:val="32"/>
          <w:szCs w:val="32"/>
          <w:highlight w:val="none"/>
          <w:lang w:val="en-US" w:eastAsia="zh-CN" w:bidi="ar-SA"/>
        </w:rPr>
        <w:t>3.2万，主要用于引进博士后开展科学研究。加强学术交流、开展科学研究，提升博士后创新实践基地能力建设。</w:t>
      </w:r>
    </w:p>
    <w:p w14:paraId="24E3E6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（二）卫生健康支出年初预算为</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564.03</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17</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074.78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306.88</w:t>
      </w:r>
      <w:r>
        <w:rPr>
          <w:rFonts w:hint="eastAsia" w:ascii="仿宋_GB2312" w:eastAsia="仿宋_GB2312" w:cs="仿宋_GB2312"/>
          <w:kern w:val="0"/>
          <w:sz w:val="32"/>
          <w:szCs w:val="32"/>
        </w:rPr>
        <w:t>%，预决算的差异主要为年中追加了广西中医药大学附属瑞康医院凤岭南医院医技综合楼</w:t>
      </w:r>
      <w:r>
        <w:rPr>
          <w:rFonts w:hint="eastAsia" w:ascii="仿宋_GB2312" w:eastAsia="仿宋_GB2312" w:cs="仿宋_GB2312"/>
          <w:kern w:val="0"/>
          <w:sz w:val="32"/>
          <w:szCs w:val="32"/>
          <w:lang w:val="en-US" w:eastAsia="zh-CN"/>
        </w:rPr>
        <w:t>项目、</w:t>
      </w:r>
      <w:r>
        <w:rPr>
          <w:rFonts w:hint="eastAsia" w:ascii="仿宋_GB2312" w:eastAsia="仿宋_GB2312" w:cs="仿宋_GB2312"/>
          <w:kern w:val="0"/>
          <w:sz w:val="32"/>
          <w:szCs w:val="32"/>
          <w:highlight w:val="none"/>
        </w:rPr>
        <w:t>广西中医药大学附属瑞康医院可转换ICU设备购置项目</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重大传染病防</w:t>
      </w:r>
      <w:r>
        <w:rPr>
          <w:rFonts w:hint="eastAsia" w:ascii="仿宋_GB2312" w:eastAsia="仿宋_GB2312" w:cs="仿宋_GB2312"/>
          <w:kern w:val="0"/>
          <w:sz w:val="32"/>
          <w:szCs w:val="32"/>
          <w:highlight w:val="none"/>
          <w:lang w:val="en-US" w:eastAsia="zh-CN"/>
        </w:rPr>
        <w:t>控经费</w:t>
      </w:r>
      <w:r>
        <w:rPr>
          <w:rFonts w:hint="eastAsia" w:ascii="仿宋_GB2312" w:eastAsia="仿宋_GB2312" w:cs="仿宋_GB2312"/>
          <w:kern w:val="0"/>
          <w:sz w:val="32"/>
          <w:szCs w:val="32"/>
          <w:highlight w:val="none"/>
        </w:rPr>
        <w:t>、中央财政医疗服务与保障能力提升补助资金(中医药事业传承与发展部分)、自治区本级疾控和医疗机构疫情防控能力提升补助资金</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新冠病毒感染救治能力提升</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自治区本级新冠肺炎“应检尽检”人员核酸检测费用、</w:t>
      </w:r>
      <w:r>
        <w:rPr>
          <w:rFonts w:hint="eastAsia" w:ascii="仿宋_GB2312" w:eastAsia="仿宋_GB2312" w:cs="仿宋_GB2312"/>
          <w:kern w:val="0"/>
          <w:sz w:val="32"/>
          <w:szCs w:val="32"/>
          <w:highlight w:val="none"/>
          <w:lang w:eastAsia="zh-CN"/>
        </w:rPr>
        <w:t>自治区本级相关医务人员临时性工作补助</w:t>
      </w:r>
      <w:r>
        <w:rPr>
          <w:rFonts w:hint="eastAsia" w:ascii="仿宋_GB2312" w:eastAsia="仿宋_GB2312" w:cs="仿宋_GB2312"/>
          <w:kern w:val="0"/>
          <w:sz w:val="32"/>
          <w:szCs w:val="32"/>
          <w:highlight w:val="none"/>
          <w:lang w:val="en-US" w:eastAsia="zh-CN"/>
        </w:rPr>
        <w:t>等财政拨款预算指标</w:t>
      </w:r>
      <w:r>
        <w:rPr>
          <w:rFonts w:hint="eastAsia" w:ascii="仿宋_GB2312" w:eastAsia="仿宋_GB2312" w:cs="仿宋_GB2312"/>
          <w:kern w:val="0"/>
          <w:sz w:val="32"/>
          <w:szCs w:val="32"/>
        </w:rPr>
        <w:t>。</w:t>
      </w:r>
    </w:p>
    <w:p w14:paraId="3825F24C">
      <w:pPr>
        <w:autoSpaceDE w:val="0"/>
        <w:autoSpaceDN w:val="0"/>
        <w:adjustRightInd w:val="0"/>
        <w:spacing w:line="560" w:lineRule="exact"/>
        <w:ind w:right="-15" w:rightChars="-7" w:firstLine="640" w:firstLineChars="200"/>
        <w:jc w:val="both"/>
        <w:rPr>
          <w:rFonts w:hint="eastAsia" w:ascii="仿宋_GB2312" w:eastAsia="仿宋_GB2312" w:cs="仿宋_GB2312"/>
          <w:kern w:val="0"/>
          <w:sz w:val="32"/>
          <w:szCs w:val="32"/>
          <w:lang w:val="en-US" w:eastAsia="zh-CN" w:bidi="ar-SA"/>
        </w:rPr>
      </w:pPr>
      <w:r>
        <w:rPr>
          <w:rFonts w:hint="default" w:ascii="仿宋_GB2312" w:eastAsia="仿宋_GB2312" w:cs="仿宋_GB2312"/>
          <w:kern w:val="0"/>
          <w:sz w:val="32"/>
          <w:szCs w:val="32"/>
          <w:lang w:val="en-US" w:eastAsia="zh-CN" w:bidi="ar-SA"/>
        </w:rPr>
        <w:t>1.中医（民族）医院</w:t>
      </w:r>
      <w:r>
        <w:rPr>
          <w:rFonts w:hint="eastAsia" w:ascii="仿宋_GB2312" w:eastAsia="仿宋_GB2312" w:cs="仿宋_GB2312"/>
          <w:kern w:val="0"/>
          <w:sz w:val="32"/>
          <w:szCs w:val="32"/>
          <w:lang w:val="en-US" w:eastAsia="zh-CN" w:bidi="ar-SA"/>
        </w:rPr>
        <w:t>5241.81</w:t>
      </w:r>
      <w:r>
        <w:rPr>
          <w:rFonts w:hint="default" w:ascii="仿宋_GB2312" w:eastAsia="仿宋_GB2312" w:cs="仿宋_GB2312"/>
          <w:kern w:val="0"/>
          <w:sz w:val="32"/>
          <w:szCs w:val="32"/>
          <w:lang w:val="en-US" w:eastAsia="zh-CN" w:bidi="ar-SA"/>
        </w:rPr>
        <w:t>万元，主要用于</w:t>
      </w:r>
      <w:r>
        <w:rPr>
          <w:rFonts w:hint="eastAsia" w:ascii="仿宋_GB2312" w:eastAsia="仿宋_GB2312" w:cs="仿宋_GB2312"/>
          <w:kern w:val="0"/>
          <w:sz w:val="32"/>
          <w:szCs w:val="32"/>
          <w:lang w:val="en-US" w:eastAsia="zh-CN" w:bidi="ar-SA"/>
        </w:rPr>
        <w:t>广西中医药大学附属瑞康医院凤岭南医院医技综合楼建设及广西中医药大学附属瑞康医院可转换ICU设备购置支出。</w:t>
      </w:r>
    </w:p>
    <w:p w14:paraId="4E4E4274">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2.</w:t>
      </w:r>
      <w:r>
        <w:rPr>
          <w:rFonts w:hint="default" w:ascii="仿宋_GB2312" w:eastAsia="仿宋_GB2312" w:cs="仿宋_GB2312"/>
          <w:kern w:val="0"/>
          <w:sz w:val="32"/>
          <w:szCs w:val="32"/>
          <w:lang w:val="en-US" w:eastAsia="zh-CN" w:bidi="ar-SA"/>
        </w:rPr>
        <w:t>其他公立医院支出</w:t>
      </w:r>
      <w:r>
        <w:rPr>
          <w:rFonts w:hint="eastAsia" w:ascii="仿宋_GB2312" w:eastAsia="仿宋_GB2312" w:cs="仿宋_GB2312"/>
          <w:kern w:val="0"/>
          <w:sz w:val="32"/>
          <w:szCs w:val="32"/>
          <w:lang w:val="en-US" w:eastAsia="zh-CN" w:bidi="ar-SA"/>
        </w:rPr>
        <w:t>766.11</w:t>
      </w:r>
      <w:r>
        <w:rPr>
          <w:rFonts w:hint="default" w:ascii="仿宋_GB2312" w:eastAsia="仿宋_GB2312" w:cs="仿宋_GB2312"/>
          <w:kern w:val="0"/>
          <w:sz w:val="32"/>
          <w:szCs w:val="32"/>
          <w:lang w:val="en-US" w:eastAsia="zh-CN" w:bidi="ar-SA"/>
        </w:rPr>
        <w:t>万元，主要用于公立医院的医药卫生体制改革补助资金支出以及公立医院承担公共卫生职责补助经费支出等。</w:t>
      </w:r>
    </w:p>
    <w:p w14:paraId="1D6FEC57">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3</w:t>
      </w:r>
      <w:r>
        <w:rPr>
          <w:rFonts w:hint="default" w:ascii="仿宋_GB2312" w:eastAsia="仿宋_GB2312" w:cs="仿宋_GB2312"/>
          <w:kern w:val="0"/>
          <w:sz w:val="32"/>
          <w:szCs w:val="32"/>
          <w:lang w:val="en-US" w:eastAsia="zh-CN" w:bidi="ar-SA"/>
        </w:rPr>
        <w:t>.城市社区卫生机构</w:t>
      </w:r>
      <w:r>
        <w:rPr>
          <w:rFonts w:hint="eastAsia" w:ascii="仿宋_GB2312" w:eastAsia="仿宋_GB2312" w:cs="仿宋_GB2312"/>
          <w:kern w:val="0"/>
          <w:sz w:val="32"/>
          <w:szCs w:val="32"/>
          <w:lang w:val="en-US" w:eastAsia="zh-CN" w:bidi="ar-SA"/>
        </w:rPr>
        <w:t>128.61</w:t>
      </w:r>
      <w:r>
        <w:rPr>
          <w:rFonts w:hint="default" w:ascii="仿宋_GB2312" w:eastAsia="仿宋_GB2312" w:cs="仿宋_GB2312"/>
          <w:kern w:val="0"/>
          <w:sz w:val="32"/>
          <w:szCs w:val="32"/>
          <w:lang w:val="en-US" w:eastAsia="zh-CN" w:bidi="ar-SA"/>
        </w:rPr>
        <w:t>万元，主要用于社区卫生机构正常运转的办公费、印刷费、水电费、差旅费、培训费等日常公用经费方面的支出。</w:t>
      </w:r>
    </w:p>
    <w:p w14:paraId="64B6E829">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4</w:t>
      </w:r>
      <w:r>
        <w:rPr>
          <w:rFonts w:hint="default" w:ascii="仿宋_GB2312" w:eastAsia="仿宋_GB2312" w:cs="仿宋_GB2312"/>
          <w:kern w:val="0"/>
          <w:sz w:val="32"/>
          <w:szCs w:val="32"/>
          <w:lang w:val="en-US" w:eastAsia="zh-CN" w:bidi="ar-SA"/>
        </w:rPr>
        <w:t>.重大公共卫生服务</w:t>
      </w:r>
      <w:r>
        <w:rPr>
          <w:rFonts w:hint="eastAsia" w:ascii="仿宋_GB2312" w:eastAsia="仿宋_GB2312" w:cs="仿宋_GB2312"/>
          <w:kern w:val="0"/>
          <w:sz w:val="32"/>
          <w:szCs w:val="32"/>
          <w:lang w:val="en-US" w:eastAsia="zh-CN" w:bidi="ar-SA"/>
        </w:rPr>
        <w:t>1,731.16</w:t>
      </w:r>
      <w:r>
        <w:rPr>
          <w:rFonts w:hint="default" w:ascii="仿宋_GB2312" w:eastAsia="仿宋_GB2312" w:cs="仿宋_GB2312"/>
          <w:kern w:val="0"/>
          <w:sz w:val="32"/>
          <w:szCs w:val="32"/>
          <w:lang w:val="en-US" w:eastAsia="zh-CN" w:bidi="ar-SA"/>
        </w:rPr>
        <w:t>万元，主要用于承担重大公共卫生服务项目的人员经费、专用材料购置、专用设备购置等支出。</w:t>
      </w:r>
    </w:p>
    <w:p w14:paraId="33EF74AF">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5</w:t>
      </w:r>
      <w:r>
        <w:rPr>
          <w:rFonts w:hint="default" w:ascii="仿宋_GB2312" w:eastAsia="仿宋_GB2312" w:cs="仿宋_GB2312"/>
          <w:kern w:val="0"/>
          <w:sz w:val="32"/>
          <w:szCs w:val="32"/>
          <w:lang w:val="en-US" w:eastAsia="zh-CN" w:bidi="ar-SA"/>
        </w:rPr>
        <w:t>.突发公共卫生事件应急处理</w:t>
      </w:r>
      <w:r>
        <w:rPr>
          <w:rFonts w:hint="eastAsia" w:ascii="仿宋_GB2312" w:eastAsia="仿宋_GB2312" w:cs="仿宋_GB2312"/>
          <w:kern w:val="0"/>
          <w:sz w:val="32"/>
          <w:szCs w:val="32"/>
          <w:lang w:val="en-US" w:eastAsia="zh-CN" w:bidi="ar-SA"/>
        </w:rPr>
        <w:t>5,233.45</w:t>
      </w:r>
      <w:r>
        <w:rPr>
          <w:rFonts w:hint="default" w:ascii="仿宋_GB2312" w:eastAsia="仿宋_GB2312" w:cs="仿宋_GB2312"/>
          <w:kern w:val="0"/>
          <w:sz w:val="32"/>
          <w:szCs w:val="32"/>
          <w:lang w:val="en-US" w:eastAsia="zh-CN" w:bidi="ar-SA"/>
        </w:rPr>
        <w:t>万元，主要用于新冠肺炎疫情防控物资、人员补助、应急医院建设等支出。</w:t>
      </w:r>
    </w:p>
    <w:p w14:paraId="670E54CA">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6</w:t>
      </w:r>
      <w:r>
        <w:rPr>
          <w:rFonts w:hint="default" w:ascii="仿宋_GB2312" w:eastAsia="仿宋_GB2312" w:cs="仿宋_GB2312"/>
          <w:kern w:val="0"/>
          <w:sz w:val="32"/>
          <w:szCs w:val="32"/>
          <w:lang w:val="en-US" w:eastAsia="zh-CN" w:bidi="ar-SA"/>
        </w:rPr>
        <w:t>.其他公共卫生支出</w:t>
      </w:r>
      <w:r>
        <w:rPr>
          <w:rFonts w:hint="eastAsia" w:ascii="仿宋_GB2312" w:eastAsia="仿宋_GB2312" w:cs="仿宋_GB2312"/>
          <w:kern w:val="0"/>
          <w:sz w:val="32"/>
          <w:szCs w:val="32"/>
          <w:lang w:val="en-US" w:eastAsia="zh-CN" w:bidi="ar-SA"/>
        </w:rPr>
        <w:t>25.83</w:t>
      </w:r>
      <w:r>
        <w:rPr>
          <w:rFonts w:hint="default" w:ascii="仿宋_GB2312" w:eastAsia="仿宋_GB2312" w:cs="仿宋_GB2312"/>
          <w:kern w:val="0"/>
          <w:sz w:val="32"/>
          <w:szCs w:val="32"/>
          <w:lang w:val="en-US" w:eastAsia="zh-CN" w:bidi="ar-SA"/>
        </w:rPr>
        <w:t>万元，主要用于</w:t>
      </w:r>
      <w:r>
        <w:rPr>
          <w:rFonts w:hint="eastAsia" w:ascii="仿宋_GB2312" w:eastAsia="仿宋_GB2312" w:cs="仿宋_GB2312"/>
          <w:kern w:val="0"/>
          <w:sz w:val="32"/>
          <w:szCs w:val="32"/>
          <w:lang w:val="en-US" w:eastAsia="zh-CN" w:bidi="ar-SA"/>
        </w:rPr>
        <w:t>干部医疗保健、</w:t>
      </w:r>
      <w:r>
        <w:rPr>
          <w:rFonts w:hint="default" w:ascii="仿宋_GB2312" w:eastAsia="仿宋_GB2312" w:cs="仿宋_GB2312"/>
          <w:kern w:val="0"/>
          <w:sz w:val="32"/>
          <w:szCs w:val="32"/>
          <w:lang w:val="en-US" w:eastAsia="zh-CN" w:bidi="ar-SA"/>
        </w:rPr>
        <w:t>公立医院能力建设补助资金等公卫支出。</w:t>
      </w:r>
    </w:p>
    <w:p w14:paraId="23E47E05">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highlight w:val="none"/>
          <w:lang w:val="en-US" w:eastAsia="zh-CN" w:bidi="ar-SA"/>
        </w:rPr>
        <w:t>7</w:t>
      </w:r>
      <w:r>
        <w:rPr>
          <w:rFonts w:hint="default" w:ascii="仿宋_GB2312" w:eastAsia="仿宋_GB2312" w:cs="仿宋_GB2312"/>
          <w:kern w:val="0"/>
          <w:sz w:val="32"/>
          <w:szCs w:val="32"/>
          <w:highlight w:val="none"/>
          <w:lang w:val="en-US" w:eastAsia="zh-CN" w:bidi="ar-SA"/>
        </w:rPr>
        <w:t>.中医（民族医）药专</w:t>
      </w:r>
      <w:r>
        <w:rPr>
          <w:rFonts w:hint="default" w:ascii="仿宋_GB2312" w:eastAsia="仿宋_GB2312" w:cs="仿宋_GB2312"/>
          <w:kern w:val="0"/>
          <w:sz w:val="32"/>
          <w:szCs w:val="32"/>
          <w:lang w:val="en-US" w:eastAsia="zh-CN" w:bidi="ar-SA"/>
        </w:rPr>
        <w:t>项</w:t>
      </w:r>
      <w:r>
        <w:rPr>
          <w:rFonts w:hint="eastAsia" w:ascii="仿宋_GB2312" w:eastAsia="仿宋_GB2312" w:cs="仿宋_GB2312"/>
          <w:kern w:val="0"/>
          <w:sz w:val="32"/>
          <w:szCs w:val="32"/>
          <w:lang w:val="en-US" w:eastAsia="zh-CN" w:bidi="ar-SA"/>
        </w:rPr>
        <w:t>2,775.68</w:t>
      </w:r>
      <w:r>
        <w:rPr>
          <w:rFonts w:hint="default" w:ascii="仿宋_GB2312" w:eastAsia="仿宋_GB2312" w:cs="仿宋_GB2312"/>
          <w:kern w:val="0"/>
          <w:sz w:val="32"/>
          <w:szCs w:val="32"/>
          <w:lang w:val="en-US" w:eastAsia="zh-CN" w:bidi="ar-SA"/>
        </w:rPr>
        <w:t>万元，主要用于中医药人才队伍建设专项经费</w:t>
      </w:r>
      <w:r>
        <w:rPr>
          <w:rFonts w:hint="eastAsia" w:ascii="仿宋_GB2312" w:eastAsia="仿宋_GB2312" w:cs="仿宋_GB2312"/>
          <w:kern w:val="0"/>
          <w:sz w:val="32"/>
          <w:szCs w:val="32"/>
          <w:lang w:val="en-US" w:eastAsia="zh-CN" w:bidi="ar-SA"/>
        </w:rPr>
        <w:t>、中央财政医疗服务与保障能力提升(中医药事业传承与发展部分)、中医药服务体系与能力建设</w:t>
      </w:r>
      <w:r>
        <w:rPr>
          <w:rFonts w:hint="default" w:ascii="仿宋_GB2312" w:eastAsia="仿宋_GB2312" w:cs="仿宋_GB2312"/>
          <w:kern w:val="0"/>
          <w:sz w:val="32"/>
          <w:szCs w:val="32"/>
          <w:lang w:val="en-US" w:eastAsia="zh-CN" w:bidi="ar-SA"/>
        </w:rPr>
        <w:t>等专项支出。</w:t>
      </w:r>
    </w:p>
    <w:p w14:paraId="4EA00EA1">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8</w:t>
      </w:r>
      <w:r>
        <w:rPr>
          <w:rFonts w:hint="default" w:ascii="仿宋_GB2312" w:eastAsia="仿宋_GB2312" w:cs="仿宋_GB2312"/>
          <w:kern w:val="0"/>
          <w:sz w:val="32"/>
          <w:szCs w:val="32"/>
          <w:lang w:val="en-US" w:eastAsia="zh-CN" w:bidi="ar-SA"/>
        </w:rPr>
        <w:t>.事业单位医疗2</w:t>
      </w:r>
      <w:r>
        <w:rPr>
          <w:rFonts w:hint="eastAsia" w:ascii="仿宋_GB2312" w:eastAsia="仿宋_GB2312" w:cs="仿宋_GB2312"/>
          <w:kern w:val="0"/>
          <w:sz w:val="32"/>
          <w:szCs w:val="32"/>
          <w:lang w:val="en-US" w:eastAsia="zh-CN" w:bidi="ar-SA"/>
        </w:rPr>
        <w:t>89.21</w:t>
      </w:r>
      <w:r>
        <w:rPr>
          <w:rFonts w:hint="default" w:ascii="仿宋_GB2312" w:eastAsia="仿宋_GB2312" w:cs="仿宋_GB2312"/>
          <w:kern w:val="0"/>
          <w:sz w:val="32"/>
          <w:szCs w:val="32"/>
          <w:lang w:val="en-US" w:eastAsia="zh-CN" w:bidi="ar-SA"/>
        </w:rPr>
        <w:t>万元，主要用于医疗保险等支出。</w:t>
      </w:r>
    </w:p>
    <w:p w14:paraId="14163495">
      <w:pPr>
        <w:autoSpaceDE w:val="0"/>
        <w:autoSpaceDN w:val="0"/>
        <w:adjustRightInd w:val="0"/>
        <w:spacing w:line="560" w:lineRule="exact"/>
        <w:ind w:right="-15" w:rightChars="-7" w:firstLine="640" w:firstLineChars="200"/>
        <w:jc w:val="both"/>
        <w:rPr>
          <w:rFonts w:hint="default"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9</w:t>
      </w:r>
      <w:r>
        <w:rPr>
          <w:rFonts w:hint="default" w:ascii="仿宋_GB2312" w:eastAsia="仿宋_GB2312" w:cs="仿宋_GB2312"/>
          <w:kern w:val="0"/>
          <w:sz w:val="32"/>
          <w:szCs w:val="32"/>
          <w:lang w:val="en-US" w:eastAsia="zh-CN" w:bidi="ar-SA"/>
        </w:rPr>
        <w:t>.其他卫生健康支出</w:t>
      </w:r>
      <w:r>
        <w:rPr>
          <w:rFonts w:hint="eastAsia" w:ascii="仿宋_GB2312" w:eastAsia="仿宋_GB2312" w:cs="仿宋_GB2312"/>
          <w:kern w:val="0"/>
          <w:sz w:val="32"/>
          <w:szCs w:val="32"/>
          <w:lang w:val="en-US" w:eastAsia="zh-CN" w:bidi="ar-SA"/>
        </w:rPr>
        <w:t>882.92</w:t>
      </w:r>
      <w:r>
        <w:rPr>
          <w:rFonts w:hint="default" w:ascii="仿宋_GB2312" w:eastAsia="仿宋_GB2312" w:cs="仿宋_GB2312"/>
          <w:kern w:val="0"/>
          <w:sz w:val="32"/>
          <w:szCs w:val="32"/>
          <w:lang w:val="en-US" w:eastAsia="zh-CN" w:bidi="ar-SA"/>
        </w:rPr>
        <w:t>万元，主要用于</w:t>
      </w:r>
      <w:r>
        <w:rPr>
          <w:rFonts w:hint="eastAsia" w:ascii="仿宋_GB2312" w:eastAsia="仿宋_GB2312" w:cs="仿宋_GB2312"/>
          <w:kern w:val="0"/>
          <w:sz w:val="32"/>
          <w:szCs w:val="32"/>
          <w:lang w:val="en-US" w:eastAsia="zh-CN" w:bidi="ar-SA"/>
        </w:rPr>
        <w:t>中央财政医疗服务与保障能力提升（卫生健康人才培养）、临床重点专科建设</w:t>
      </w:r>
      <w:r>
        <w:rPr>
          <w:rFonts w:hint="default" w:ascii="仿宋_GB2312" w:eastAsia="仿宋_GB2312" w:cs="仿宋_GB2312"/>
          <w:kern w:val="0"/>
          <w:sz w:val="32"/>
          <w:szCs w:val="32"/>
          <w:lang w:val="en-US" w:eastAsia="zh-CN" w:bidi="ar-SA"/>
        </w:rPr>
        <w:t>等专项支出。</w:t>
      </w:r>
    </w:p>
    <w:p w14:paraId="7C55AB85">
      <w:pPr>
        <w:autoSpaceDE w:val="0"/>
        <w:autoSpaceDN w:val="0"/>
        <w:adjustRightInd w:val="0"/>
        <w:spacing w:line="560" w:lineRule="exact"/>
        <w:ind w:right="-15" w:rightChars="-7" w:firstLine="640" w:firstLineChars="200"/>
        <w:jc w:val="both"/>
        <w:rPr>
          <w:rFonts w:hint="eastAsia" w:ascii="仿宋_GB2312" w:eastAsia="仿宋_GB2312" w:cs="仿宋_GB2312"/>
          <w:kern w:val="0"/>
          <w:sz w:val="32"/>
          <w:szCs w:val="32"/>
        </w:rPr>
      </w:pPr>
      <w:r>
        <w:rPr>
          <w:rFonts w:hint="default" w:ascii="仿宋_GB2312" w:eastAsia="仿宋_GB2312" w:cs="仿宋_GB2312"/>
          <w:kern w:val="0"/>
          <w:sz w:val="32"/>
          <w:szCs w:val="32"/>
          <w:lang w:val="en-US" w:eastAsia="zh-CN" w:bidi="ar-SA"/>
        </w:rPr>
        <w:t>（</w:t>
      </w:r>
      <w:r>
        <w:rPr>
          <w:rFonts w:hint="eastAsia" w:ascii="仿宋_GB2312" w:eastAsia="仿宋_GB2312" w:cs="仿宋_GB2312"/>
          <w:kern w:val="0"/>
          <w:sz w:val="32"/>
          <w:szCs w:val="32"/>
          <w:lang w:val="en-US" w:eastAsia="zh-CN" w:bidi="ar-SA"/>
        </w:rPr>
        <w:t>三</w:t>
      </w:r>
      <w:r>
        <w:rPr>
          <w:rFonts w:hint="default" w:ascii="仿宋_GB2312" w:eastAsia="仿宋_GB2312" w:cs="仿宋_GB2312"/>
          <w:kern w:val="0"/>
          <w:sz w:val="32"/>
          <w:szCs w:val="32"/>
          <w:lang w:val="en-US" w:eastAsia="zh-CN" w:bidi="ar-SA"/>
        </w:rPr>
        <w:t>）住房保障支出年初预算为2</w:t>
      </w:r>
      <w:r>
        <w:rPr>
          <w:rFonts w:hint="eastAsia" w:ascii="仿宋_GB2312" w:eastAsia="仿宋_GB2312" w:cs="仿宋_GB2312"/>
          <w:kern w:val="0"/>
          <w:sz w:val="32"/>
          <w:szCs w:val="32"/>
          <w:lang w:val="en-US" w:eastAsia="zh-CN" w:bidi="ar-SA"/>
        </w:rPr>
        <w:t>81.39</w:t>
      </w:r>
      <w:r>
        <w:rPr>
          <w:rFonts w:hint="default" w:ascii="仿宋_GB2312" w:eastAsia="仿宋_GB2312" w:cs="仿宋_GB2312"/>
          <w:kern w:val="0"/>
          <w:sz w:val="32"/>
          <w:szCs w:val="32"/>
          <w:lang w:val="en-US" w:eastAsia="zh-CN" w:bidi="ar-SA"/>
        </w:rPr>
        <w:t>万元，支出决算为2</w:t>
      </w:r>
      <w:r>
        <w:rPr>
          <w:rFonts w:hint="eastAsia" w:ascii="仿宋_GB2312" w:eastAsia="仿宋_GB2312" w:cs="仿宋_GB2312"/>
          <w:kern w:val="0"/>
          <w:sz w:val="32"/>
          <w:szCs w:val="32"/>
          <w:lang w:val="en-US" w:eastAsia="zh-CN" w:bidi="ar-SA"/>
        </w:rPr>
        <w:t>81.39</w:t>
      </w:r>
      <w:r>
        <w:rPr>
          <w:rFonts w:hint="default" w:ascii="仿宋_GB2312" w:eastAsia="仿宋_GB2312" w:cs="仿宋_GB2312"/>
          <w:kern w:val="0"/>
          <w:sz w:val="32"/>
          <w:szCs w:val="32"/>
          <w:lang w:val="en-US" w:eastAsia="zh-CN" w:bidi="ar-SA"/>
        </w:rPr>
        <w:t>万元，完成年初预算的</w:t>
      </w:r>
      <w:r>
        <w:rPr>
          <w:rFonts w:hint="eastAsia" w:ascii="仿宋_GB2312" w:eastAsia="仿宋_GB2312" w:cs="仿宋_GB2312"/>
          <w:kern w:val="0"/>
          <w:sz w:val="32"/>
          <w:szCs w:val="32"/>
          <w:lang w:val="en-US" w:eastAsia="zh-CN" w:bidi="ar-SA"/>
        </w:rPr>
        <w:t>100</w:t>
      </w:r>
      <w:r>
        <w:rPr>
          <w:rFonts w:hint="default" w:ascii="仿宋_GB2312" w:eastAsia="仿宋_GB2312" w:cs="仿宋_GB2312"/>
          <w:kern w:val="0"/>
          <w:sz w:val="32"/>
          <w:szCs w:val="32"/>
          <w:lang w:val="en-US" w:eastAsia="zh-CN" w:bidi="ar-SA"/>
        </w:rPr>
        <w:t>%。</w:t>
      </w:r>
      <w:r>
        <w:rPr>
          <w:rFonts w:hint="eastAsia" w:ascii="仿宋_GB2312" w:eastAsia="仿宋_GB2312" w:cs="仿宋_GB2312"/>
          <w:kern w:val="0"/>
          <w:sz w:val="32"/>
          <w:szCs w:val="32"/>
          <w:lang w:val="en-US" w:eastAsia="zh-CN" w:bidi="ar-SA"/>
        </w:rPr>
        <w:t>主要用于在职职工住房公积金。</w:t>
      </w:r>
    </w:p>
    <w:p w14:paraId="2F8A08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75D1E2A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651.41</w:t>
      </w:r>
      <w:r>
        <w:rPr>
          <w:rFonts w:hint="eastAsia" w:ascii="仿宋_GB2312" w:eastAsia="仿宋_GB2312" w:cs="仿宋_GB2312"/>
          <w:kern w:val="0"/>
          <w:sz w:val="32"/>
          <w:szCs w:val="32"/>
        </w:rPr>
        <w:t>万元，支出具体情况如下：</w:t>
      </w:r>
    </w:p>
    <w:p w14:paraId="687980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570.60</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bCs/>
          <w:kern w:val="0"/>
          <w:sz w:val="32"/>
          <w:szCs w:val="32"/>
        </w:rPr>
        <w:t>%。</w:t>
      </w:r>
    </w:p>
    <w:p w14:paraId="4964FBA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（二）</w:t>
      </w:r>
      <w:r>
        <w:rPr>
          <w:rFonts w:hint="eastAsia" w:ascii="仿宋_GB2312" w:eastAsia="仿宋_GB2312"/>
          <w:bCs/>
          <w:kern w:val="0"/>
          <w:sz w:val="32"/>
          <w:szCs w:val="32"/>
          <w:lang w:val="en-US" w:eastAsia="zh-CN"/>
        </w:rPr>
        <w:t>对个人和家庭的补助80.81万元，完成年初预算的100%。</w:t>
      </w:r>
    </w:p>
    <w:p w14:paraId="2B41BE9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38A34F3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广西中医药大学附属瑞康医院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33,000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33,000</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其中：项目支出</w:t>
      </w:r>
      <w:r>
        <w:rPr>
          <w:rFonts w:hint="eastAsia" w:ascii="仿宋_GB2312" w:eastAsia="仿宋_GB2312" w:cs="仿宋_GB2312"/>
          <w:kern w:val="0"/>
          <w:sz w:val="32"/>
          <w:szCs w:val="32"/>
          <w:lang w:val="en-US" w:eastAsia="zh-CN"/>
        </w:rPr>
        <w:t>33,000</w:t>
      </w:r>
      <w:r>
        <w:rPr>
          <w:rFonts w:hint="eastAsia" w:ascii="仿宋_GB2312" w:eastAsia="仿宋_GB2312" w:cs="仿宋_GB2312"/>
          <w:kern w:val="0"/>
          <w:sz w:val="32"/>
          <w:szCs w:val="32"/>
        </w:rPr>
        <w:t>万元。</w:t>
      </w:r>
    </w:p>
    <w:p w14:paraId="34F46A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广西中医药大学附属瑞康医院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33,000</w:t>
      </w:r>
      <w:r>
        <w:rPr>
          <w:rFonts w:hint="eastAsia" w:ascii="仿宋_GB2312" w:hAnsi="黑体" w:eastAsia="仿宋_GB2312" w:cs="仿宋_GB2312"/>
          <w:kern w:val="0"/>
          <w:sz w:val="32"/>
          <w:szCs w:val="32"/>
        </w:rPr>
        <w:t>万元。</w:t>
      </w:r>
    </w:p>
    <w:p w14:paraId="37AE004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其他</w:t>
      </w:r>
      <w:r>
        <w:rPr>
          <w:rFonts w:hint="eastAsia" w:ascii="仿宋_GB2312" w:eastAsia="仿宋_GB2312" w:cs="仿宋_GB2312"/>
          <w:kern w:val="0"/>
          <w:sz w:val="32"/>
          <w:szCs w:val="32"/>
        </w:rPr>
        <w:t>支出</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33,000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其中：</w:t>
      </w:r>
      <w:r>
        <w:rPr>
          <w:rFonts w:hint="eastAsia" w:ascii="仿宋_GB2312" w:hAnsi="黑体" w:eastAsia="仿宋_GB2312" w:cs="仿宋_GB2312"/>
          <w:kern w:val="0"/>
          <w:sz w:val="32"/>
          <w:szCs w:val="32"/>
        </w:rPr>
        <w:t>其他地方自行试点项目收益专项债券收入安排的支出</w:t>
      </w:r>
      <w:r>
        <w:rPr>
          <w:rFonts w:hint="eastAsia" w:ascii="仿宋_GB2312" w:hAnsi="黑体" w:eastAsia="仿宋_GB2312" w:cs="仿宋_GB2312"/>
          <w:kern w:val="0"/>
          <w:sz w:val="32"/>
          <w:szCs w:val="32"/>
          <w:lang w:val="en-US" w:eastAsia="zh-CN"/>
        </w:rPr>
        <w:t>33,000万元，</w:t>
      </w:r>
      <w:r>
        <w:rPr>
          <w:rFonts w:hint="eastAsia" w:ascii="仿宋_GB2312" w:eastAsia="仿宋_GB2312" w:cs="仿宋_GB2312"/>
          <w:kern w:val="0"/>
          <w:sz w:val="32"/>
          <w:szCs w:val="32"/>
        </w:rPr>
        <w:t>主要用于</w:t>
      </w:r>
      <w:r>
        <w:rPr>
          <w:rFonts w:hint="eastAsia" w:ascii="仿宋_GB2312" w:hAnsi="黑体" w:eastAsia="仿宋_GB2312"/>
          <w:bCs/>
          <w:color w:val="000000"/>
          <w:sz w:val="32"/>
          <w:szCs w:val="32"/>
          <w:u w:val="none"/>
        </w:rPr>
        <w:t>广西中医药大学附属瑞康医院</w:t>
      </w:r>
      <w:r>
        <w:rPr>
          <w:rFonts w:hint="eastAsia" w:ascii="仿宋_GB2312" w:hAnsi="黑体" w:eastAsia="仿宋_GB2312"/>
          <w:bCs/>
          <w:color w:val="000000"/>
          <w:sz w:val="32"/>
          <w:szCs w:val="32"/>
          <w:u w:val="none"/>
          <w:lang w:val="en-US" w:eastAsia="zh-CN"/>
        </w:rPr>
        <w:t>凤岭南医院建设。</w:t>
      </w:r>
    </w:p>
    <w:p w14:paraId="5775F73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12ED01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bidi="ar-SA"/>
        </w:rPr>
      </w:pPr>
      <w:r>
        <w:rPr>
          <w:rFonts w:hint="eastAsia" w:ascii="仿宋_GB2312" w:eastAsia="仿宋_GB2312" w:cs="仿宋_GB2312"/>
          <w:kern w:val="0"/>
          <w:sz w:val="32"/>
          <w:szCs w:val="32"/>
          <w:lang w:bidi="ar-SA"/>
        </w:rPr>
        <w:t>本</w:t>
      </w:r>
      <w:r>
        <w:rPr>
          <w:rFonts w:hint="eastAsia" w:ascii="仿宋_GB2312" w:eastAsia="仿宋_GB2312" w:cs="仿宋_GB2312"/>
          <w:kern w:val="0"/>
          <w:sz w:val="32"/>
          <w:szCs w:val="32"/>
          <w:lang w:val="en-US" w:eastAsia="zh-CN" w:bidi="ar-SA"/>
        </w:rPr>
        <w:t>年无</w:t>
      </w:r>
      <w:r>
        <w:rPr>
          <w:rFonts w:hint="eastAsia" w:ascii="仿宋_GB2312" w:eastAsia="仿宋_GB2312" w:cs="仿宋_GB2312"/>
          <w:kern w:val="0"/>
          <w:sz w:val="32"/>
          <w:szCs w:val="32"/>
          <w:lang w:bidi="ar-SA"/>
        </w:rPr>
        <w:t>国有资本经营预算财政拨款收入，</w:t>
      </w:r>
      <w:r>
        <w:rPr>
          <w:rFonts w:hint="eastAsia" w:ascii="仿宋_GB2312" w:eastAsia="仿宋_GB2312" w:cs="仿宋_GB2312"/>
          <w:kern w:val="0"/>
          <w:sz w:val="32"/>
          <w:szCs w:val="32"/>
          <w:lang w:val="en-US" w:eastAsia="zh-CN" w:bidi="ar-SA"/>
        </w:rPr>
        <w:t>无</w:t>
      </w:r>
      <w:r>
        <w:rPr>
          <w:rFonts w:hint="eastAsia" w:ascii="仿宋_GB2312" w:eastAsia="仿宋_GB2312" w:cs="仿宋_GB2312"/>
          <w:kern w:val="0"/>
          <w:sz w:val="32"/>
          <w:szCs w:val="32"/>
          <w:lang w:bidi="ar-SA"/>
        </w:rPr>
        <w:t>国有资本经营预算安排的支出，故国有资本经营预算财政拨款收入支出决算无数据。</w:t>
      </w:r>
    </w:p>
    <w:p w14:paraId="6DDEB48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18D9A829">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bidi="ar-SA"/>
        </w:rPr>
      </w:pPr>
      <w:r>
        <w:rPr>
          <w:rFonts w:hint="eastAsia" w:ascii="仿宋_GB2312" w:eastAsia="仿宋_GB2312" w:cs="仿宋_GB2312"/>
          <w:kern w:val="0"/>
          <w:sz w:val="32"/>
          <w:szCs w:val="32"/>
          <w:lang w:bidi="ar-SA"/>
        </w:rPr>
        <w:t>按财厅要求，原则上将不再用财政拨款资金安排公益二类单位“三公两费”经费。所以本</w:t>
      </w:r>
      <w:r>
        <w:rPr>
          <w:rFonts w:hint="eastAsia" w:ascii="仿宋_GB2312" w:eastAsia="仿宋_GB2312" w:cs="仿宋_GB2312"/>
          <w:kern w:val="0"/>
          <w:sz w:val="32"/>
          <w:szCs w:val="32"/>
          <w:lang w:val="en-US" w:eastAsia="zh-CN" w:bidi="ar-SA"/>
        </w:rPr>
        <w:t>部</w:t>
      </w:r>
      <w:bookmarkStart w:id="0" w:name="_GoBack"/>
      <w:bookmarkEnd w:id="0"/>
      <w:r>
        <w:rPr>
          <w:rFonts w:hint="eastAsia" w:ascii="仿宋_GB2312" w:eastAsia="仿宋_GB2312" w:cs="仿宋_GB2312"/>
          <w:kern w:val="0"/>
          <w:sz w:val="32"/>
          <w:szCs w:val="32"/>
          <w:lang w:val="en-US" w:eastAsia="zh-CN" w:bidi="ar-SA"/>
        </w:rPr>
        <w:t>门</w:t>
      </w:r>
      <w:r>
        <w:rPr>
          <w:rFonts w:hint="eastAsia" w:ascii="仿宋_GB2312" w:eastAsia="仿宋_GB2312" w:cs="仿宋_GB2312"/>
          <w:kern w:val="0"/>
          <w:sz w:val="32"/>
          <w:szCs w:val="32"/>
          <w:lang w:bidi="ar-SA"/>
        </w:rPr>
        <w:t>202</w:t>
      </w:r>
      <w:r>
        <w:rPr>
          <w:rFonts w:hint="eastAsia" w:ascii="仿宋_GB2312" w:eastAsia="仿宋_GB2312" w:cs="仿宋_GB2312"/>
          <w:kern w:val="0"/>
          <w:sz w:val="32"/>
          <w:szCs w:val="32"/>
          <w:lang w:val="en-US" w:eastAsia="zh-CN" w:bidi="ar-SA"/>
        </w:rPr>
        <w:t>3</w:t>
      </w:r>
      <w:r>
        <w:rPr>
          <w:rFonts w:hint="eastAsia" w:ascii="仿宋_GB2312" w:eastAsia="仿宋_GB2312" w:cs="仿宋_GB2312"/>
          <w:kern w:val="0"/>
          <w:sz w:val="32"/>
          <w:szCs w:val="32"/>
          <w:lang w:bidi="ar-SA"/>
        </w:rPr>
        <w:t>年</w:t>
      </w:r>
      <w:r>
        <w:rPr>
          <w:rFonts w:hint="eastAsia" w:ascii="仿宋_GB2312" w:eastAsia="仿宋_GB2312" w:cs="仿宋_GB2312"/>
          <w:kern w:val="0"/>
          <w:sz w:val="32"/>
          <w:szCs w:val="32"/>
          <w:lang w:val="en-US" w:eastAsia="zh-CN" w:bidi="ar-SA"/>
        </w:rPr>
        <w:t>无</w:t>
      </w:r>
      <w:r>
        <w:rPr>
          <w:rFonts w:hint="eastAsia" w:ascii="仿宋_GB2312" w:eastAsia="仿宋_GB2312" w:cs="仿宋_GB2312"/>
          <w:kern w:val="0"/>
          <w:sz w:val="32"/>
          <w:szCs w:val="32"/>
          <w:lang w:bidi="ar-SA"/>
        </w:rPr>
        <w:t>一般公共预算拨款的“三公”经费支出。</w:t>
      </w:r>
    </w:p>
    <w:p w14:paraId="1750914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428BDA8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24BA6C4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仿宋_GB2312" w:eastAsia="仿宋_GB2312" w:cs="仿宋_GB2312"/>
          <w:kern w:val="0"/>
          <w:sz w:val="32"/>
          <w:szCs w:val="32"/>
          <w:lang w:bidi="ar-SA"/>
        </w:rPr>
        <w:t>本部门无机关运行经费支出。</w:t>
      </w:r>
    </w:p>
    <w:p w14:paraId="19FFB18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lang w:eastAsia="zh-CN"/>
        </w:rPr>
        <w:t>（</w:t>
      </w:r>
      <w:r>
        <w:rPr>
          <w:rFonts w:hint="eastAsia" w:ascii="楷体_GB2312" w:eastAsia="楷体_GB2312" w:cs="仿宋_GB2312"/>
          <w:kern w:val="0"/>
          <w:sz w:val="32"/>
          <w:szCs w:val="32"/>
          <w:lang w:val="en-US" w:eastAsia="zh-CN"/>
        </w:rPr>
        <w:t>二）</w:t>
      </w:r>
      <w:r>
        <w:rPr>
          <w:rFonts w:hint="eastAsia" w:ascii="楷体_GB2312" w:eastAsia="楷体_GB2312" w:cs="仿宋_GB2312"/>
          <w:kern w:val="0"/>
          <w:sz w:val="32"/>
          <w:szCs w:val="32"/>
        </w:rPr>
        <w:t>政府采购支出情况说明。</w:t>
      </w:r>
    </w:p>
    <w:p w14:paraId="79B547F6">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12,647.58</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5,084.43</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187.60万元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政府采购服务支出</w:t>
      </w:r>
      <w:r>
        <w:rPr>
          <w:rFonts w:hint="eastAsia" w:ascii="仿宋_GB2312" w:eastAsia="仿宋_GB2312" w:cs="仿宋_GB2312"/>
          <w:kern w:val="0"/>
          <w:sz w:val="32"/>
          <w:szCs w:val="32"/>
          <w:lang w:val="en-US" w:eastAsia="zh-CN"/>
        </w:rPr>
        <w:t>7,375.55</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11,728.97</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92.74</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9,523.97</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81.20</w:t>
      </w:r>
      <w:r>
        <w:rPr>
          <w:rFonts w:hint="eastAsia" w:ascii="仿宋_GB2312" w:eastAsia="仿宋_GB2312" w:cs="仿宋_GB2312"/>
          <w:kern w:val="0"/>
          <w:sz w:val="32"/>
          <w:szCs w:val="32"/>
          <w:highlight w:val="none"/>
        </w:rPr>
        <w:t>%。</w:t>
      </w:r>
    </w:p>
    <w:p w14:paraId="70C6F1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5254955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年12月31日，本部门共有车辆</w:t>
      </w:r>
      <w:r>
        <w:rPr>
          <w:rFonts w:hint="eastAsia" w:ascii="仿宋_GB2312" w:eastAsia="仿宋_GB2312" w:cs="仿宋_GB2312"/>
          <w:kern w:val="0"/>
          <w:sz w:val="32"/>
          <w:szCs w:val="32"/>
          <w:highlight w:val="none"/>
          <w:lang w:val="en-US" w:eastAsia="zh-CN"/>
        </w:rPr>
        <w:t>17</w:t>
      </w:r>
      <w:r>
        <w:rPr>
          <w:rFonts w:hint="eastAsia" w:ascii="仿宋_GB2312" w:eastAsia="仿宋_GB2312" w:cs="仿宋_GB2312"/>
          <w:kern w:val="0"/>
          <w:sz w:val="32"/>
          <w:szCs w:val="32"/>
          <w:highlight w:val="none"/>
        </w:rPr>
        <w:t>辆，其中：特种专业技术用车</w:t>
      </w:r>
      <w:r>
        <w:rPr>
          <w:rFonts w:hint="eastAsia" w:ascii="仿宋_GB2312" w:eastAsia="仿宋_GB2312" w:cs="仿宋_GB2312"/>
          <w:kern w:val="0"/>
          <w:sz w:val="32"/>
          <w:szCs w:val="32"/>
          <w:highlight w:val="none"/>
          <w:lang w:val="en-US" w:eastAsia="zh-CN"/>
        </w:rPr>
        <w:t>11</w:t>
      </w:r>
      <w:r>
        <w:rPr>
          <w:rFonts w:hint="eastAsia" w:ascii="仿宋_GB2312" w:eastAsia="仿宋_GB2312" w:cs="仿宋_GB2312"/>
          <w:kern w:val="0"/>
          <w:sz w:val="32"/>
          <w:szCs w:val="32"/>
          <w:highlight w:val="none"/>
        </w:rPr>
        <w:t>辆、其他用车</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辆；单位价值50万元以上通用设备</w:t>
      </w:r>
      <w:r>
        <w:rPr>
          <w:rFonts w:hint="eastAsia" w:ascii="仿宋_GB2312" w:eastAsia="仿宋_GB2312" w:cs="仿宋_GB2312"/>
          <w:kern w:val="0"/>
          <w:sz w:val="32"/>
          <w:szCs w:val="32"/>
          <w:highlight w:val="none"/>
          <w:lang w:val="en-US" w:eastAsia="zh-CN"/>
        </w:rPr>
        <w:t>10</w:t>
      </w:r>
      <w:r>
        <w:rPr>
          <w:rFonts w:hint="eastAsia" w:ascii="仿宋_GB2312" w:eastAsia="仿宋_GB2312" w:cs="仿宋_GB2312"/>
          <w:kern w:val="0"/>
          <w:sz w:val="32"/>
          <w:szCs w:val="32"/>
          <w:highlight w:val="none"/>
        </w:rPr>
        <w:t>台（套）；单位价值100万元以上专用设备</w:t>
      </w:r>
      <w:r>
        <w:rPr>
          <w:rFonts w:hint="eastAsia" w:ascii="仿宋_GB2312" w:eastAsia="仿宋_GB2312" w:cs="仿宋_GB2312"/>
          <w:kern w:val="0"/>
          <w:sz w:val="32"/>
          <w:szCs w:val="32"/>
          <w:highlight w:val="none"/>
          <w:lang w:val="en-US" w:eastAsia="zh-CN"/>
        </w:rPr>
        <w:t>118</w:t>
      </w:r>
      <w:r>
        <w:rPr>
          <w:rFonts w:hint="eastAsia" w:ascii="仿宋_GB2312" w:eastAsia="仿宋_GB2312" w:cs="仿宋_GB2312"/>
          <w:kern w:val="0"/>
          <w:sz w:val="32"/>
          <w:szCs w:val="32"/>
          <w:highlight w:val="none"/>
        </w:rPr>
        <w:t>台（套）。</w:t>
      </w:r>
    </w:p>
    <w:p w14:paraId="7D052E2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5431BDE8">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（一）整体支出绩效自评结果。</w:t>
      </w:r>
    </w:p>
    <w:p w14:paraId="786188B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我部门2023年度部门预算数49,352.91万元，执行数48,808.98万元，整体支出绩效自评结果为一等。</w:t>
      </w:r>
    </w:p>
    <w:p w14:paraId="3225846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（二）项目支出绩效自评结果。</w:t>
      </w:r>
    </w:p>
    <w:p w14:paraId="47BD0FE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1.项目绩效自评总体情况：我部门2023年度项目27个，项目支出总额48,808.98万元。其中，本级项目27个，本级项目支出48,808.98万元；对下转移支付项目0个，对下转移支付0万元。项目中，敏感涉密项目0个，涉及资金0万元。</w:t>
      </w:r>
    </w:p>
    <w:p w14:paraId="3BAAAF1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27个项目评为一等，涉及资金48,808.98万元，占项目总数比例100%，占项目支出总额比例100%。自评发现的主要问题及原因：一是部分项目负责人资金使用计划性不强，预算支出进度考核意识淡薄，导致未能按照一般公共预算支出“综合进度”的考核目标要求及时进行资金支付；二是物资采购事项需按照规定进行招标采购，涉及采购进口医疗专用设备还需进行论证，采购流程繁杂，耗时较长；部分招标采购项目会存在招标流标的现象，导致采购进度受影响；三是根据实施方案要求，部分项目需要分阶段下基层推广或外出培训学习，但因临床工作及教学任务重，部分项目的实施大多安排在下半年，导致上半年项目支出进度缓慢；四是部分归口管理部门未设专职人员负责财政资金对接工作，未能按时在指定日期前对各项目资金支出及执行进度情况与财务部进行对账。无法及时了解到归口项目资金使用情况，因此未能及时督促项目负责人使用资金。下一步改进措施：一是各项目负责人按照项目实施方案的要求制定详细的工作计划，按照计划落实好项目建设。同时还需加强预算支出进度考核意识，严格按照一般公共预算支出“综合进度”的考核目标要求使用资金，统筹协调好项目工作计划与预算支出进度考核的关系；二是项目负责人及时提交项目采购计划，并充分做好设备采购各项材料准备，尽量避免因准备不充分导致流标的情况，加快采购流程，避免年底集中采购支付；三是各项目指定1名专职人员负责财政资金对接工作，每月5日前针对上月财政资金使用及执行进度情况与财务部进行对账。</w:t>
      </w:r>
    </w:p>
    <w:p w14:paraId="265046EE">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eastAsia="仿宋_GB2312" w:cs="仿宋_GB2312"/>
          <w:b w:val="0"/>
          <w:bCs w:val="0"/>
          <w:caps w:val="0"/>
          <w:color w:val="auto"/>
          <w:kern w:val="0"/>
          <w:sz w:val="32"/>
          <w:szCs w:val="32"/>
          <w:vertAlign w:val="baseline"/>
          <w:lang w:val="en-US" w:eastAsia="zh-CN" w:bidi="ar"/>
        </w:rPr>
        <w:t>2.</w:t>
      </w: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至少选择一个重点项目做具体说明）：根据年初设定的绩效目标，2023年中央财政医疗服务与保障能力提升（住院医师规范化培训)项目自评得分为100分，自评结果为一等，项目全年预算数为876万元，执行数为876万元，完成预算的100%。项目绩效目标完成情况：一是培养2020级住培学员160人，2021级住培学员102人，2022级住培学员110人，招录2023级住培学员100人，顺利结业120人；二是在2023年12月31日前完成经费补助发放工作，按时按量全部用于住院医师规范化培训项目，主要用于培训对象工资、绩效、教师课酬、带教老师带教费、责任导师津贴、各类教学活动竞赛奖金等，共876万。通过评价通过工作有利于提升基地建设及师资学员教学水平，规范管理在我院的规培医师，培养完成的学员按国家多种需求就业，2023年为社会提供120名合格的住培医师，提升地区医疗卫生水平。</w:t>
      </w:r>
    </w:p>
    <w:p w14:paraId="1D80E7C1">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_GB2312" w:hAnsi="Times New Roman"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（说明：八、预算绩效管理工作开展情况，资金统计口径均为财政资金。）</w:t>
      </w:r>
    </w:p>
    <w:p w14:paraId="22DC64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p>
    <w:p w14:paraId="463D5D9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仿宋_GB2312"/>
          <w:b/>
          <w:kern w:val="0"/>
          <w:sz w:val="32"/>
          <w:szCs w:val="32"/>
        </w:rPr>
      </w:pPr>
    </w:p>
    <w:p w14:paraId="27A54BD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仿宋_GB2312"/>
          <w:b/>
          <w:kern w:val="0"/>
          <w:sz w:val="32"/>
          <w:szCs w:val="32"/>
        </w:rPr>
      </w:pPr>
    </w:p>
    <w:p w14:paraId="2E5FA2E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仿宋_GB2312"/>
          <w:b/>
          <w:kern w:val="0"/>
          <w:sz w:val="32"/>
          <w:szCs w:val="32"/>
        </w:rPr>
      </w:pPr>
    </w:p>
    <w:p w14:paraId="06E916BC">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eastAsia="仿宋_GB2312" w:cs="仿宋_GB2312"/>
          <w:b/>
          <w:kern w:val="0"/>
          <w:sz w:val="32"/>
          <w:szCs w:val="32"/>
        </w:rPr>
      </w:pPr>
    </w:p>
    <w:p w14:paraId="75AAECB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eastAsia="仿宋_GB2312" w:cs="仿宋_GB2312"/>
          <w:b/>
          <w:kern w:val="0"/>
          <w:sz w:val="32"/>
          <w:szCs w:val="32"/>
        </w:rPr>
      </w:pPr>
    </w:p>
    <w:p w14:paraId="4E15441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r>
        <w:rPr>
          <w:rFonts w:hint="eastAsia" w:ascii="黑体" w:hAnsi="黑体" w:eastAsia="黑体" w:cs="仿宋_GB2312"/>
          <w:kern w:val="0"/>
          <w:sz w:val="32"/>
          <w:szCs w:val="32"/>
        </w:rPr>
        <w:t>第四部分  名词解释</w:t>
      </w:r>
    </w:p>
    <w:p w14:paraId="7973448B">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p>
    <w:p w14:paraId="10DD2AAE">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098CCBF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4106AAD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369D30D">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06FC983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387437C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624BD9B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7F34AB6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2157703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46BA56D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4005EECE">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6712D7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7C88D0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5FE640">
      <w:pPr>
        <w:ind w:firstLine="640" w:firstLineChars="200"/>
        <w:rPr>
          <w:rFonts w:hint="eastAsia" w:ascii="仿宋_GB2312" w:hAnsi="Times New Roman" w:eastAsia="仿宋_GB2312" w:cs="Times New Roman"/>
          <w:sz w:val="32"/>
          <w:szCs w:val="32"/>
        </w:rPr>
      </w:pPr>
    </w:p>
    <w:p w14:paraId="4901CA7C">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自治区卫生健康委关于202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rPr>
        <w:t>年度部门决算的批复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.pdf</w:t>
      </w:r>
    </w:p>
    <w:p w14:paraId="24FCE899">
      <w:pPr>
        <w:ind w:firstLine="1920" w:firstLineChars="6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广西中医药大学附属瑞康医院202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rPr>
        <w:t>年度部门决算公开附表.xls</w:t>
      </w:r>
    </w:p>
    <w:p w14:paraId="298FC0AA">
      <w:pPr>
        <w:spacing w:line="240" w:lineRule="auto"/>
        <w:ind w:firstLine="1920" w:firstLineChars="600"/>
        <w:rPr>
          <w:rFonts w:hint="eastAsia" w:ascii="黑体" w:hAnsi="黑体" w:eastAsia="黑体" w:cs="仿宋_GB2312"/>
          <w:kern w:val="0"/>
          <w:sz w:val="32"/>
          <w:szCs w:val="32"/>
        </w:rPr>
      </w:pPr>
      <w:r>
        <w:rPr>
          <w:rFonts w:hint="eastAsia" w:ascii="仿宋_GB2312" w:hAnsi="Times New Roman" w:eastAsia="仿宋_GB2312" w:cs="Times New Roman"/>
          <w:sz w:val="32"/>
          <w:szCs w:val="32"/>
        </w:rPr>
        <w:t>广西中医药大学附属瑞康医院自治区本级202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rPr>
        <w:t>年度部门决算公开文本.doc</w:t>
      </w:r>
    </w:p>
    <w:sectPr>
      <w:pgSz w:w="11906" w:h="16838"/>
      <w:pgMar w:top="1701" w:right="1474" w:bottom="1247" w:left="1587" w:header="851" w:footer="992" w:gutter="0"/>
      <w:pgNumType w:fmt="decimal"/>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39E48E-C89D-4FB8-8D90-53FFDAE7F0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UnicodeMS">
    <w:altName w:val="方正小标宋简体"/>
    <w:panose1 w:val="00000000000000000000"/>
    <w:charset w:val="00"/>
    <w:family w:val="auto"/>
    <w:pitch w:val="default"/>
    <w:sig w:usb0="00000000" w:usb1="00000000" w:usb2="00000010" w:usb3="00000000" w:csb0="00040000" w:csb1="00000000"/>
    <w:embedRegular r:id="rId2" w:fontKey="{32CF6A19-9129-4964-B4A0-232ECA6CA1AE}"/>
  </w:font>
  <w:font w:name="方正小标宋简体">
    <w:panose1 w:val="02000000000000000000"/>
    <w:charset w:val="86"/>
    <w:family w:val="auto"/>
    <w:pitch w:val="default"/>
    <w:sig w:usb0="00000001" w:usb1="08000000" w:usb2="00000000" w:usb3="00000000" w:csb0="00040000" w:csb1="00000000"/>
    <w:embedRegular r:id="rId3" w:fontKey="{20F614B2-201F-4FDE-9FE4-28B874D9C497}"/>
  </w:font>
  <w:font w:name="仿宋_GB2312">
    <w:panose1 w:val="02010609030101010101"/>
    <w:charset w:val="86"/>
    <w:family w:val="auto"/>
    <w:pitch w:val="default"/>
    <w:sig w:usb0="00000001" w:usb1="080E0000" w:usb2="00000000" w:usb3="00000000" w:csb0="00040000" w:csb1="00000000"/>
    <w:embedRegular r:id="rId4" w:fontKey="{B8633C4E-A503-4FE7-B9F5-C3C37DEAC59B}"/>
  </w:font>
  <w:font w:name="楷体_GB2312">
    <w:altName w:val="楷体"/>
    <w:panose1 w:val="02010609030101010101"/>
    <w:charset w:val="00"/>
    <w:family w:val="auto"/>
    <w:pitch w:val="default"/>
    <w:sig w:usb0="00000000" w:usb1="00000000" w:usb2="00000000" w:usb3="00000000" w:csb0="00040000" w:csb1="00000000"/>
    <w:embedRegular r:id="rId5" w:fontKey="{37492527-A3DA-4FDD-B2D9-74374CF4054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E148">
    <w:pPr>
      <w:pStyle w:val="3"/>
      <w:ind w:right="2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1D21BE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61D21BE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38C6">
    <w:pPr>
      <w:pStyle w:val="3"/>
      <w:ind w:firstLine="270" w:firstLineChars="1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6C58B3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CBEH87s&#10;AQAA1QMAAA4AAAAAAAAAAQAgAAAAHgEAAGRycy9lMm9Eb2MueG1sUEsFBgAAAAAGAAYAWQEAAHwF&#10;AAAAAA==&#10;">
              <v:fill on="f" focussize="0,0"/>
              <v:stroke on="f"/>
              <v:imagedata o:title=""/>
              <o:lock v:ext="edit" aspectratio="f"/>
              <v:textbox inset="0mm,0mm,0mm,0mm" style="mso-fit-shape-to-text:t;">
                <w:txbxContent>
                  <w:p w14:paraId="06C58B3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OWJhNzk4ZGE3MDVjMTA1MmQ3MDU2MjI1N2JmNWYifQ=="/>
  </w:docVars>
  <w:rsids>
    <w:rsidRoot w:val="0044603A"/>
    <w:rsid w:val="00000C19"/>
    <w:rsid w:val="000025D7"/>
    <w:rsid w:val="000029C9"/>
    <w:rsid w:val="00011970"/>
    <w:rsid w:val="00012A72"/>
    <w:rsid w:val="000132BE"/>
    <w:rsid w:val="0001353E"/>
    <w:rsid w:val="00014B7F"/>
    <w:rsid w:val="000157A9"/>
    <w:rsid w:val="00017F54"/>
    <w:rsid w:val="000206F8"/>
    <w:rsid w:val="0002142A"/>
    <w:rsid w:val="000222ED"/>
    <w:rsid w:val="000275C8"/>
    <w:rsid w:val="00030D95"/>
    <w:rsid w:val="00032D5F"/>
    <w:rsid w:val="000373C3"/>
    <w:rsid w:val="0004145E"/>
    <w:rsid w:val="000441F7"/>
    <w:rsid w:val="00046498"/>
    <w:rsid w:val="0004689D"/>
    <w:rsid w:val="00050F20"/>
    <w:rsid w:val="000534BF"/>
    <w:rsid w:val="00053DFF"/>
    <w:rsid w:val="000624C1"/>
    <w:rsid w:val="00062651"/>
    <w:rsid w:val="00075941"/>
    <w:rsid w:val="000772EB"/>
    <w:rsid w:val="0008469B"/>
    <w:rsid w:val="00084D65"/>
    <w:rsid w:val="00084D7B"/>
    <w:rsid w:val="000855C8"/>
    <w:rsid w:val="00086800"/>
    <w:rsid w:val="00087056"/>
    <w:rsid w:val="00090B5D"/>
    <w:rsid w:val="000910E5"/>
    <w:rsid w:val="0009172A"/>
    <w:rsid w:val="00091768"/>
    <w:rsid w:val="00094416"/>
    <w:rsid w:val="00094BD1"/>
    <w:rsid w:val="0009684C"/>
    <w:rsid w:val="00096F23"/>
    <w:rsid w:val="0009722B"/>
    <w:rsid w:val="000A2AB8"/>
    <w:rsid w:val="000A6054"/>
    <w:rsid w:val="000A6C6F"/>
    <w:rsid w:val="000B28CB"/>
    <w:rsid w:val="000B3150"/>
    <w:rsid w:val="000B4991"/>
    <w:rsid w:val="000B50F0"/>
    <w:rsid w:val="000B6ADF"/>
    <w:rsid w:val="000C0E3B"/>
    <w:rsid w:val="000C5BEC"/>
    <w:rsid w:val="000C63B9"/>
    <w:rsid w:val="000C6D5F"/>
    <w:rsid w:val="000C6FCB"/>
    <w:rsid w:val="000D23D3"/>
    <w:rsid w:val="000D2E1E"/>
    <w:rsid w:val="000D3F04"/>
    <w:rsid w:val="000D4FEF"/>
    <w:rsid w:val="000D59C5"/>
    <w:rsid w:val="000E0EF2"/>
    <w:rsid w:val="000E46F0"/>
    <w:rsid w:val="000F1C31"/>
    <w:rsid w:val="000F2407"/>
    <w:rsid w:val="000F2C94"/>
    <w:rsid w:val="000F6708"/>
    <w:rsid w:val="000F7869"/>
    <w:rsid w:val="0010068C"/>
    <w:rsid w:val="00100FAF"/>
    <w:rsid w:val="00102D27"/>
    <w:rsid w:val="00103347"/>
    <w:rsid w:val="0010639B"/>
    <w:rsid w:val="00107921"/>
    <w:rsid w:val="001112C5"/>
    <w:rsid w:val="00112FD8"/>
    <w:rsid w:val="001142CD"/>
    <w:rsid w:val="0011491B"/>
    <w:rsid w:val="00116EA1"/>
    <w:rsid w:val="00122319"/>
    <w:rsid w:val="00123033"/>
    <w:rsid w:val="00124337"/>
    <w:rsid w:val="00124374"/>
    <w:rsid w:val="00124696"/>
    <w:rsid w:val="00127C35"/>
    <w:rsid w:val="00131E61"/>
    <w:rsid w:val="00134300"/>
    <w:rsid w:val="0014054D"/>
    <w:rsid w:val="00140B11"/>
    <w:rsid w:val="00143E79"/>
    <w:rsid w:val="001452D0"/>
    <w:rsid w:val="00146528"/>
    <w:rsid w:val="00146943"/>
    <w:rsid w:val="00146A23"/>
    <w:rsid w:val="00152434"/>
    <w:rsid w:val="00154352"/>
    <w:rsid w:val="00154359"/>
    <w:rsid w:val="00155313"/>
    <w:rsid w:val="00160A4D"/>
    <w:rsid w:val="00170279"/>
    <w:rsid w:val="001718C7"/>
    <w:rsid w:val="0017498B"/>
    <w:rsid w:val="001847E1"/>
    <w:rsid w:val="00184C71"/>
    <w:rsid w:val="00184D07"/>
    <w:rsid w:val="00185888"/>
    <w:rsid w:val="00186585"/>
    <w:rsid w:val="001865E7"/>
    <w:rsid w:val="0018764F"/>
    <w:rsid w:val="00191280"/>
    <w:rsid w:val="00194E59"/>
    <w:rsid w:val="00196A9B"/>
    <w:rsid w:val="001A0C25"/>
    <w:rsid w:val="001A1448"/>
    <w:rsid w:val="001A6FD4"/>
    <w:rsid w:val="001A7D11"/>
    <w:rsid w:val="001B0307"/>
    <w:rsid w:val="001B166A"/>
    <w:rsid w:val="001B4B53"/>
    <w:rsid w:val="001B5D25"/>
    <w:rsid w:val="001C104A"/>
    <w:rsid w:val="001D0189"/>
    <w:rsid w:val="001D3D99"/>
    <w:rsid w:val="001D676E"/>
    <w:rsid w:val="001D6B9B"/>
    <w:rsid w:val="001E1E8E"/>
    <w:rsid w:val="001E263B"/>
    <w:rsid w:val="001E5C0E"/>
    <w:rsid w:val="001F5DC2"/>
    <w:rsid w:val="002018A2"/>
    <w:rsid w:val="0020576C"/>
    <w:rsid w:val="00207EAA"/>
    <w:rsid w:val="002109FE"/>
    <w:rsid w:val="00215D56"/>
    <w:rsid w:val="002160E7"/>
    <w:rsid w:val="002208D1"/>
    <w:rsid w:val="00220F16"/>
    <w:rsid w:val="00221229"/>
    <w:rsid w:val="00222800"/>
    <w:rsid w:val="00224936"/>
    <w:rsid w:val="00226542"/>
    <w:rsid w:val="00232489"/>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3683"/>
    <w:rsid w:val="0025461A"/>
    <w:rsid w:val="002603EE"/>
    <w:rsid w:val="0026094C"/>
    <w:rsid w:val="00260D24"/>
    <w:rsid w:val="002633F3"/>
    <w:rsid w:val="00266617"/>
    <w:rsid w:val="002675C3"/>
    <w:rsid w:val="00267C5B"/>
    <w:rsid w:val="00267CC9"/>
    <w:rsid w:val="00274E01"/>
    <w:rsid w:val="002752E2"/>
    <w:rsid w:val="002803AA"/>
    <w:rsid w:val="002804E0"/>
    <w:rsid w:val="00291736"/>
    <w:rsid w:val="002954D5"/>
    <w:rsid w:val="002A02D0"/>
    <w:rsid w:val="002A368F"/>
    <w:rsid w:val="002A3928"/>
    <w:rsid w:val="002A3E37"/>
    <w:rsid w:val="002A555C"/>
    <w:rsid w:val="002A6A9A"/>
    <w:rsid w:val="002B1412"/>
    <w:rsid w:val="002B2E03"/>
    <w:rsid w:val="002B6EA5"/>
    <w:rsid w:val="002C0E9F"/>
    <w:rsid w:val="002C281F"/>
    <w:rsid w:val="002C5A6A"/>
    <w:rsid w:val="002D4A30"/>
    <w:rsid w:val="002E03AA"/>
    <w:rsid w:val="002E3BED"/>
    <w:rsid w:val="002E7A82"/>
    <w:rsid w:val="002F3061"/>
    <w:rsid w:val="002F3CF8"/>
    <w:rsid w:val="002F497A"/>
    <w:rsid w:val="002F7B1D"/>
    <w:rsid w:val="00300BB4"/>
    <w:rsid w:val="00300FD9"/>
    <w:rsid w:val="00301C94"/>
    <w:rsid w:val="00306668"/>
    <w:rsid w:val="003103DF"/>
    <w:rsid w:val="00311100"/>
    <w:rsid w:val="00311ABD"/>
    <w:rsid w:val="003122D0"/>
    <w:rsid w:val="003127B5"/>
    <w:rsid w:val="003130DD"/>
    <w:rsid w:val="0031372E"/>
    <w:rsid w:val="00315574"/>
    <w:rsid w:val="00320B55"/>
    <w:rsid w:val="003232EB"/>
    <w:rsid w:val="00323399"/>
    <w:rsid w:val="0032366E"/>
    <w:rsid w:val="00323731"/>
    <w:rsid w:val="00326265"/>
    <w:rsid w:val="00332392"/>
    <w:rsid w:val="0033707D"/>
    <w:rsid w:val="00337891"/>
    <w:rsid w:val="00341BFA"/>
    <w:rsid w:val="0034272A"/>
    <w:rsid w:val="003447DA"/>
    <w:rsid w:val="0034512A"/>
    <w:rsid w:val="00346FB4"/>
    <w:rsid w:val="003557F0"/>
    <w:rsid w:val="0036023B"/>
    <w:rsid w:val="00360F0D"/>
    <w:rsid w:val="00361A06"/>
    <w:rsid w:val="00362E12"/>
    <w:rsid w:val="00363267"/>
    <w:rsid w:val="0036427C"/>
    <w:rsid w:val="00364511"/>
    <w:rsid w:val="00365C50"/>
    <w:rsid w:val="00367236"/>
    <w:rsid w:val="00370055"/>
    <w:rsid w:val="003706FD"/>
    <w:rsid w:val="00370E78"/>
    <w:rsid w:val="00370F52"/>
    <w:rsid w:val="003720EC"/>
    <w:rsid w:val="0037296A"/>
    <w:rsid w:val="00372DDA"/>
    <w:rsid w:val="00373228"/>
    <w:rsid w:val="003733D5"/>
    <w:rsid w:val="00375904"/>
    <w:rsid w:val="00376419"/>
    <w:rsid w:val="0037657B"/>
    <w:rsid w:val="003813FB"/>
    <w:rsid w:val="00381DD6"/>
    <w:rsid w:val="003851D3"/>
    <w:rsid w:val="00386927"/>
    <w:rsid w:val="00390E35"/>
    <w:rsid w:val="0039174F"/>
    <w:rsid w:val="003925EC"/>
    <w:rsid w:val="003925FB"/>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26AA"/>
    <w:rsid w:val="003C291D"/>
    <w:rsid w:val="003C48C5"/>
    <w:rsid w:val="003C66E5"/>
    <w:rsid w:val="003D1E99"/>
    <w:rsid w:val="003D3A37"/>
    <w:rsid w:val="003D3CAA"/>
    <w:rsid w:val="003D4E96"/>
    <w:rsid w:val="003D527F"/>
    <w:rsid w:val="003D6F8F"/>
    <w:rsid w:val="003E183B"/>
    <w:rsid w:val="003E2626"/>
    <w:rsid w:val="003E39C8"/>
    <w:rsid w:val="003E39E1"/>
    <w:rsid w:val="003E4405"/>
    <w:rsid w:val="003E46F0"/>
    <w:rsid w:val="003E50BC"/>
    <w:rsid w:val="003E50FC"/>
    <w:rsid w:val="003E56AB"/>
    <w:rsid w:val="003F3DC3"/>
    <w:rsid w:val="003F6785"/>
    <w:rsid w:val="003F6E50"/>
    <w:rsid w:val="00401CB5"/>
    <w:rsid w:val="00403F6E"/>
    <w:rsid w:val="004109A2"/>
    <w:rsid w:val="004113DD"/>
    <w:rsid w:val="0041229B"/>
    <w:rsid w:val="0041459A"/>
    <w:rsid w:val="00417299"/>
    <w:rsid w:val="00417659"/>
    <w:rsid w:val="00420E37"/>
    <w:rsid w:val="00426330"/>
    <w:rsid w:val="00426EB7"/>
    <w:rsid w:val="00427CC4"/>
    <w:rsid w:val="004304AE"/>
    <w:rsid w:val="00430D18"/>
    <w:rsid w:val="004316FD"/>
    <w:rsid w:val="00435609"/>
    <w:rsid w:val="004357B3"/>
    <w:rsid w:val="00440293"/>
    <w:rsid w:val="00441648"/>
    <w:rsid w:val="00442330"/>
    <w:rsid w:val="00443145"/>
    <w:rsid w:val="00444696"/>
    <w:rsid w:val="0044603A"/>
    <w:rsid w:val="00446B3E"/>
    <w:rsid w:val="00447BF6"/>
    <w:rsid w:val="00452149"/>
    <w:rsid w:val="004522B4"/>
    <w:rsid w:val="004522C8"/>
    <w:rsid w:val="00453ED8"/>
    <w:rsid w:val="00454BC7"/>
    <w:rsid w:val="00456362"/>
    <w:rsid w:val="004625E8"/>
    <w:rsid w:val="0046291E"/>
    <w:rsid w:val="00462EBD"/>
    <w:rsid w:val="0046358D"/>
    <w:rsid w:val="00465295"/>
    <w:rsid w:val="004672EC"/>
    <w:rsid w:val="00471611"/>
    <w:rsid w:val="00477A2E"/>
    <w:rsid w:val="00480B7A"/>
    <w:rsid w:val="004827C4"/>
    <w:rsid w:val="00484FAE"/>
    <w:rsid w:val="00485E6F"/>
    <w:rsid w:val="00491C5B"/>
    <w:rsid w:val="00491D25"/>
    <w:rsid w:val="00493E03"/>
    <w:rsid w:val="0049716A"/>
    <w:rsid w:val="004972EC"/>
    <w:rsid w:val="00497630"/>
    <w:rsid w:val="004A0B63"/>
    <w:rsid w:val="004A3BC5"/>
    <w:rsid w:val="004A449E"/>
    <w:rsid w:val="004A61C9"/>
    <w:rsid w:val="004A6F76"/>
    <w:rsid w:val="004B1F34"/>
    <w:rsid w:val="004B289F"/>
    <w:rsid w:val="004B35CE"/>
    <w:rsid w:val="004B3DE6"/>
    <w:rsid w:val="004B4DC4"/>
    <w:rsid w:val="004B5DC9"/>
    <w:rsid w:val="004B6E81"/>
    <w:rsid w:val="004B7A7F"/>
    <w:rsid w:val="004B7A9E"/>
    <w:rsid w:val="004C04CD"/>
    <w:rsid w:val="004C1A22"/>
    <w:rsid w:val="004C4FBF"/>
    <w:rsid w:val="004C6064"/>
    <w:rsid w:val="004D055F"/>
    <w:rsid w:val="004E110C"/>
    <w:rsid w:val="004E1290"/>
    <w:rsid w:val="004E7C99"/>
    <w:rsid w:val="004F1C3E"/>
    <w:rsid w:val="004F3226"/>
    <w:rsid w:val="004F349C"/>
    <w:rsid w:val="004F3E39"/>
    <w:rsid w:val="004F4F61"/>
    <w:rsid w:val="004F7674"/>
    <w:rsid w:val="004F7C61"/>
    <w:rsid w:val="00500122"/>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1804"/>
    <w:rsid w:val="00540964"/>
    <w:rsid w:val="00543475"/>
    <w:rsid w:val="005457A3"/>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54E8"/>
    <w:rsid w:val="005868CC"/>
    <w:rsid w:val="00590AD9"/>
    <w:rsid w:val="00592E5F"/>
    <w:rsid w:val="0059378D"/>
    <w:rsid w:val="00593DBF"/>
    <w:rsid w:val="005949F2"/>
    <w:rsid w:val="00596282"/>
    <w:rsid w:val="00597357"/>
    <w:rsid w:val="00597F5E"/>
    <w:rsid w:val="005A0856"/>
    <w:rsid w:val="005A12C2"/>
    <w:rsid w:val="005A52FA"/>
    <w:rsid w:val="005A5EE0"/>
    <w:rsid w:val="005A5FFF"/>
    <w:rsid w:val="005A6470"/>
    <w:rsid w:val="005B2A50"/>
    <w:rsid w:val="005B3181"/>
    <w:rsid w:val="005B3A4E"/>
    <w:rsid w:val="005B6953"/>
    <w:rsid w:val="005C2BB0"/>
    <w:rsid w:val="005C76A1"/>
    <w:rsid w:val="005C7829"/>
    <w:rsid w:val="005D0A2C"/>
    <w:rsid w:val="005D5516"/>
    <w:rsid w:val="005D6B9C"/>
    <w:rsid w:val="005D7580"/>
    <w:rsid w:val="005E1010"/>
    <w:rsid w:val="005E26E1"/>
    <w:rsid w:val="005E5A8E"/>
    <w:rsid w:val="005E6D82"/>
    <w:rsid w:val="005F01E6"/>
    <w:rsid w:val="005F0A65"/>
    <w:rsid w:val="005F0F32"/>
    <w:rsid w:val="005F4A57"/>
    <w:rsid w:val="005F6265"/>
    <w:rsid w:val="005F6BF4"/>
    <w:rsid w:val="00601671"/>
    <w:rsid w:val="00602CE4"/>
    <w:rsid w:val="00605CAA"/>
    <w:rsid w:val="006070EA"/>
    <w:rsid w:val="00614F8D"/>
    <w:rsid w:val="0061500F"/>
    <w:rsid w:val="0061640E"/>
    <w:rsid w:val="0062137B"/>
    <w:rsid w:val="0062163E"/>
    <w:rsid w:val="00624986"/>
    <w:rsid w:val="00625F0E"/>
    <w:rsid w:val="006270F9"/>
    <w:rsid w:val="00632761"/>
    <w:rsid w:val="00634652"/>
    <w:rsid w:val="006356AA"/>
    <w:rsid w:val="00635CE7"/>
    <w:rsid w:val="006366ED"/>
    <w:rsid w:val="00640685"/>
    <w:rsid w:val="0064164F"/>
    <w:rsid w:val="00641757"/>
    <w:rsid w:val="00642FE1"/>
    <w:rsid w:val="00644441"/>
    <w:rsid w:val="00651B6B"/>
    <w:rsid w:val="00651EB1"/>
    <w:rsid w:val="006526A9"/>
    <w:rsid w:val="00653A13"/>
    <w:rsid w:val="00653A30"/>
    <w:rsid w:val="006544A0"/>
    <w:rsid w:val="00654CF0"/>
    <w:rsid w:val="00655F33"/>
    <w:rsid w:val="0065654E"/>
    <w:rsid w:val="00656982"/>
    <w:rsid w:val="00657E7C"/>
    <w:rsid w:val="00660939"/>
    <w:rsid w:val="00661C0A"/>
    <w:rsid w:val="0066336F"/>
    <w:rsid w:val="00663DF2"/>
    <w:rsid w:val="006656D4"/>
    <w:rsid w:val="00666497"/>
    <w:rsid w:val="00667ECC"/>
    <w:rsid w:val="00671767"/>
    <w:rsid w:val="0067481E"/>
    <w:rsid w:val="00674CF3"/>
    <w:rsid w:val="00681F9C"/>
    <w:rsid w:val="00682A95"/>
    <w:rsid w:val="00682B38"/>
    <w:rsid w:val="006851F9"/>
    <w:rsid w:val="00687BA6"/>
    <w:rsid w:val="0069307B"/>
    <w:rsid w:val="00695FEF"/>
    <w:rsid w:val="006972ED"/>
    <w:rsid w:val="006A2761"/>
    <w:rsid w:val="006A3A31"/>
    <w:rsid w:val="006A7174"/>
    <w:rsid w:val="006A7688"/>
    <w:rsid w:val="006B1881"/>
    <w:rsid w:val="006B1E13"/>
    <w:rsid w:val="006B2177"/>
    <w:rsid w:val="006B22C2"/>
    <w:rsid w:val="006B5F57"/>
    <w:rsid w:val="006B65CA"/>
    <w:rsid w:val="006B6F5F"/>
    <w:rsid w:val="006C3C3A"/>
    <w:rsid w:val="006C4FA3"/>
    <w:rsid w:val="006C4FE5"/>
    <w:rsid w:val="006C588F"/>
    <w:rsid w:val="006C6837"/>
    <w:rsid w:val="006C7E2F"/>
    <w:rsid w:val="006D4111"/>
    <w:rsid w:val="006F0B05"/>
    <w:rsid w:val="006F3EAD"/>
    <w:rsid w:val="006F40FC"/>
    <w:rsid w:val="00700C01"/>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87600"/>
    <w:rsid w:val="0079081E"/>
    <w:rsid w:val="00794153"/>
    <w:rsid w:val="007A239C"/>
    <w:rsid w:val="007A3A19"/>
    <w:rsid w:val="007A43ED"/>
    <w:rsid w:val="007A46F8"/>
    <w:rsid w:val="007A5846"/>
    <w:rsid w:val="007A7EBA"/>
    <w:rsid w:val="007B17C6"/>
    <w:rsid w:val="007B6945"/>
    <w:rsid w:val="007B6D8F"/>
    <w:rsid w:val="007C0CB7"/>
    <w:rsid w:val="007C17DC"/>
    <w:rsid w:val="007C44FE"/>
    <w:rsid w:val="007C586A"/>
    <w:rsid w:val="007C59A6"/>
    <w:rsid w:val="007C5EE5"/>
    <w:rsid w:val="007C623B"/>
    <w:rsid w:val="007C640A"/>
    <w:rsid w:val="007D15F0"/>
    <w:rsid w:val="007D7589"/>
    <w:rsid w:val="007E168C"/>
    <w:rsid w:val="007E2F28"/>
    <w:rsid w:val="007E3268"/>
    <w:rsid w:val="007E3960"/>
    <w:rsid w:val="007E6BB9"/>
    <w:rsid w:val="007E6FB3"/>
    <w:rsid w:val="007F3565"/>
    <w:rsid w:val="007F42C7"/>
    <w:rsid w:val="007F4A6E"/>
    <w:rsid w:val="00804325"/>
    <w:rsid w:val="00805F4E"/>
    <w:rsid w:val="008073D4"/>
    <w:rsid w:val="00807404"/>
    <w:rsid w:val="0080788D"/>
    <w:rsid w:val="00810BA1"/>
    <w:rsid w:val="00811874"/>
    <w:rsid w:val="00811CE7"/>
    <w:rsid w:val="008132BB"/>
    <w:rsid w:val="00815C03"/>
    <w:rsid w:val="0081731A"/>
    <w:rsid w:val="008177E7"/>
    <w:rsid w:val="00823CDD"/>
    <w:rsid w:val="00823F17"/>
    <w:rsid w:val="00823F5A"/>
    <w:rsid w:val="0082443D"/>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4C9C"/>
    <w:rsid w:val="00896FB6"/>
    <w:rsid w:val="008A1C93"/>
    <w:rsid w:val="008A500A"/>
    <w:rsid w:val="008B364B"/>
    <w:rsid w:val="008B5042"/>
    <w:rsid w:val="008B5FCB"/>
    <w:rsid w:val="008B61C2"/>
    <w:rsid w:val="008B7339"/>
    <w:rsid w:val="008B7ADF"/>
    <w:rsid w:val="008C3643"/>
    <w:rsid w:val="008C4AE5"/>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03A"/>
    <w:rsid w:val="009144AC"/>
    <w:rsid w:val="00914E39"/>
    <w:rsid w:val="0091557F"/>
    <w:rsid w:val="00915ED0"/>
    <w:rsid w:val="00916BD0"/>
    <w:rsid w:val="0092058F"/>
    <w:rsid w:val="00920E28"/>
    <w:rsid w:val="0092109F"/>
    <w:rsid w:val="009231E6"/>
    <w:rsid w:val="0092579F"/>
    <w:rsid w:val="009271EC"/>
    <w:rsid w:val="00931760"/>
    <w:rsid w:val="009331C5"/>
    <w:rsid w:val="00933389"/>
    <w:rsid w:val="009406C2"/>
    <w:rsid w:val="00941171"/>
    <w:rsid w:val="00941969"/>
    <w:rsid w:val="00942727"/>
    <w:rsid w:val="009469E5"/>
    <w:rsid w:val="0094717A"/>
    <w:rsid w:val="009479DB"/>
    <w:rsid w:val="009513E6"/>
    <w:rsid w:val="009521FE"/>
    <w:rsid w:val="00953686"/>
    <w:rsid w:val="009540C4"/>
    <w:rsid w:val="009629D4"/>
    <w:rsid w:val="00963C93"/>
    <w:rsid w:val="009640EC"/>
    <w:rsid w:val="00964A52"/>
    <w:rsid w:val="009670CB"/>
    <w:rsid w:val="009677CC"/>
    <w:rsid w:val="009711B2"/>
    <w:rsid w:val="00971623"/>
    <w:rsid w:val="009727A0"/>
    <w:rsid w:val="00972C86"/>
    <w:rsid w:val="009732B4"/>
    <w:rsid w:val="00974A81"/>
    <w:rsid w:val="00974FC9"/>
    <w:rsid w:val="0097570A"/>
    <w:rsid w:val="009828A4"/>
    <w:rsid w:val="00983D49"/>
    <w:rsid w:val="00984CD6"/>
    <w:rsid w:val="009857B1"/>
    <w:rsid w:val="00985895"/>
    <w:rsid w:val="00987A53"/>
    <w:rsid w:val="00990B57"/>
    <w:rsid w:val="00993F99"/>
    <w:rsid w:val="009A0986"/>
    <w:rsid w:val="009A10BF"/>
    <w:rsid w:val="009A45C8"/>
    <w:rsid w:val="009A59C7"/>
    <w:rsid w:val="009A60B0"/>
    <w:rsid w:val="009A7E67"/>
    <w:rsid w:val="009B1F15"/>
    <w:rsid w:val="009B30CF"/>
    <w:rsid w:val="009B3782"/>
    <w:rsid w:val="009B6741"/>
    <w:rsid w:val="009C130B"/>
    <w:rsid w:val="009C1EA5"/>
    <w:rsid w:val="009C37C0"/>
    <w:rsid w:val="009C447C"/>
    <w:rsid w:val="009C5EF4"/>
    <w:rsid w:val="009D5762"/>
    <w:rsid w:val="009D5DAA"/>
    <w:rsid w:val="009D6899"/>
    <w:rsid w:val="009D79C1"/>
    <w:rsid w:val="009D7FCC"/>
    <w:rsid w:val="009E08FB"/>
    <w:rsid w:val="009E10AB"/>
    <w:rsid w:val="009E18C4"/>
    <w:rsid w:val="009E26CF"/>
    <w:rsid w:val="009E2F21"/>
    <w:rsid w:val="009E59B0"/>
    <w:rsid w:val="009F4063"/>
    <w:rsid w:val="009F4DC5"/>
    <w:rsid w:val="009F5FE7"/>
    <w:rsid w:val="009F63DE"/>
    <w:rsid w:val="009F7181"/>
    <w:rsid w:val="009F7A4D"/>
    <w:rsid w:val="00A01520"/>
    <w:rsid w:val="00A01CBE"/>
    <w:rsid w:val="00A02E22"/>
    <w:rsid w:val="00A11758"/>
    <w:rsid w:val="00A131E8"/>
    <w:rsid w:val="00A13C0D"/>
    <w:rsid w:val="00A14149"/>
    <w:rsid w:val="00A142C9"/>
    <w:rsid w:val="00A14979"/>
    <w:rsid w:val="00A15312"/>
    <w:rsid w:val="00A15DA7"/>
    <w:rsid w:val="00A20F48"/>
    <w:rsid w:val="00A22010"/>
    <w:rsid w:val="00A26FC1"/>
    <w:rsid w:val="00A3398D"/>
    <w:rsid w:val="00A34603"/>
    <w:rsid w:val="00A36862"/>
    <w:rsid w:val="00A432AF"/>
    <w:rsid w:val="00A43D57"/>
    <w:rsid w:val="00A44CF2"/>
    <w:rsid w:val="00A45A87"/>
    <w:rsid w:val="00A45E59"/>
    <w:rsid w:val="00A45E80"/>
    <w:rsid w:val="00A50A8E"/>
    <w:rsid w:val="00A56BA7"/>
    <w:rsid w:val="00A577F6"/>
    <w:rsid w:val="00A57AD0"/>
    <w:rsid w:val="00A676AA"/>
    <w:rsid w:val="00A679E5"/>
    <w:rsid w:val="00A7165E"/>
    <w:rsid w:val="00A718FE"/>
    <w:rsid w:val="00A7250A"/>
    <w:rsid w:val="00A73BCC"/>
    <w:rsid w:val="00A760C8"/>
    <w:rsid w:val="00A772F6"/>
    <w:rsid w:val="00A80298"/>
    <w:rsid w:val="00A806B7"/>
    <w:rsid w:val="00A80F6A"/>
    <w:rsid w:val="00A82A65"/>
    <w:rsid w:val="00A8503E"/>
    <w:rsid w:val="00A850E0"/>
    <w:rsid w:val="00A86014"/>
    <w:rsid w:val="00A910EE"/>
    <w:rsid w:val="00A94D03"/>
    <w:rsid w:val="00A96B89"/>
    <w:rsid w:val="00A96D19"/>
    <w:rsid w:val="00AA0F15"/>
    <w:rsid w:val="00AA579D"/>
    <w:rsid w:val="00AA764D"/>
    <w:rsid w:val="00AA7BD6"/>
    <w:rsid w:val="00AB0FD7"/>
    <w:rsid w:val="00AB4560"/>
    <w:rsid w:val="00AC0DDC"/>
    <w:rsid w:val="00AC1625"/>
    <w:rsid w:val="00AC3648"/>
    <w:rsid w:val="00AC6B2C"/>
    <w:rsid w:val="00AC747D"/>
    <w:rsid w:val="00AD0867"/>
    <w:rsid w:val="00AD1AEC"/>
    <w:rsid w:val="00AD2AF1"/>
    <w:rsid w:val="00AD67F5"/>
    <w:rsid w:val="00AE00E6"/>
    <w:rsid w:val="00AE18C7"/>
    <w:rsid w:val="00AE5A90"/>
    <w:rsid w:val="00AE5D22"/>
    <w:rsid w:val="00AE77C3"/>
    <w:rsid w:val="00AF2549"/>
    <w:rsid w:val="00B01A00"/>
    <w:rsid w:val="00B02F00"/>
    <w:rsid w:val="00B0580E"/>
    <w:rsid w:val="00B107A7"/>
    <w:rsid w:val="00B10EBE"/>
    <w:rsid w:val="00B11BB3"/>
    <w:rsid w:val="00B12AE7"/>
    <w:rsid w:val="00B139B3"/>
    <w:rsid w:val="00B14F49"/>
    <w:rsid w:val="00B16BC2"/>
    <w:rsid w:val="00B238D0"/>
    <w:rsid w:val="00B25422"/>
    <w:rsid w:val="00B25F02"/>
    <w:rsid w:val="00B2626E"/>
    <w:rsid w:val="00B30629"/>
    <w:rsid w:val="00B31F36"/>
    <w:rsid w:val="00B32FC4"/>
    <w:rsid w:val="00B3359F"/>
    <w:rsid w:val="00B3505D"/>
    <w:rsid w:val="00B3773E"/>
    <w:rsid w:val="00B42A1E"/>
    <w:rsid w:val="00B43D1D"/>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46A6"/>
    <w:rsid w:val="00B85222"/>
    <w:rsid w:val="00B8660A"/>
    <w:rsid w:val="00B866F0"/>
    <w:rsid w:val="00B90113"/>
    <w:rsid w:val="00B91F01"/>
    <w:rsid w:val="00B92A8C"/>
    <w:rsid w:val="00B936F7"/>
    <w:rsid w:val="00B93F45"/>
    <w:rsid w:val="00BA0F97"/>
    <w:rsid w:val="00BA211B"/>
    <w:rsid w:val="00BA5FF4"/>
    <w:rsid w:val="00BB0D14"/>
    <w:rsid w:val="00BB23DC"/>
    <w:rsid w:val="00BB2F83"/>
    <w:rsid w:val="00BB4A71"/>
    <w:rsid w:val="00BC1857"/>
    <w:rsid w:val="00BC1A4E"/>
    <w:rsid w:val="00BC20FD"/>
    <w:rsid w:val="00BC27C2"/>
    <w:rsid w:val="00BC42E8"/>
    <w:rsid w:val="00BC44A4"/>
    <w:rsid w:val="00BD1990"/>
    <w:rsid w:val="00BD7C22"/>
    <w:rsid w:val="00BE4143"/>
    <w:rsid w:val="00BE7088"/>
    <w:rsid w:val="00BE7805"/>
    <w:rsid w:val="00BF149F"/>
    <w:rsid w:val="00BF3B1A"/>
    <w:rsid w:val="00BF6C43"/>
    <w:rsid w:val="00BF761E"/>
    <w:rsid w:val="00C01E04"/>
    <w:rsid w:val="00C02113"/>
    <w:rsid w:val="00C03996"/>
    <w:rsid w:val="00C06322"/>
    <w:rsid w:val="00C06B8E"/>
    <w:rsid w:val="00C07356"/>
    <w:rsid w:val="00C114E8"/>
    <w:rsid w:val="00C11E13"/>
    <w:rsid w:val="00C11FED"/>
    <w:rsid w:val="00C12287"/>
    <w:rsid w:val="00C12633"/>
    <w:rsid w:val="00C128D5"/>
    <w:rsid w:val="00C16273"/>
    <w:rsid w:val="00C16DDF"/>
    <w:rsid w:val="00C2086A"/>
    <w:rsid w:val="00C22E43"/>
    <w:rsid w:val="00C25036"/>
    <w:rsid w:val="00C25938"/>
    <w:rsid w:val="00C25F58"/>
    <w:rsid w:val="00C27807"/>
    <w:rsid w:val="00C30B8C"/>
    <w:rsid w:val="00C30BF2"/>
    <w:rsid w:val="00C32E97"/>
    <w:rsid w:val="00C33E59"/>
    <w:rsid w:val="00C33ED2"/>
    <w:rsid w:val="00C347F0"/>
    <w:rsid w:val="00C37DF9"/>
    <w:rsid w:val="00C40799"/>
    <w:rsid w:val="00C435D1"/>
    <w:rsid w:val="00C44FCE"/>
    <w:rsid w:val="00C45363"/>
    <w:rsid w:val="00C46B5A"/>
    <w:rsid w:val="00C50DFF"/>
    <w:rsid w:val="00C535F9"/>
    <w:rsid w:val="00C55B5E"/>
    <w:rsid w:val="00C56A4E"/>
    <w:rsid w:val="00C6132B"/>
    <w:rsid w:val="00C61F6A"/>
    <w:rsid w:val="00C61F6E"/>
    <w:rsid w:val="00C62918"/>
    <w:rsid w:val="00C635D6"/>
    <w:rsid w:val="00C65972"/>
    <w:rsid w:val="00C663E4"/>
    <w:rsid w:val="00C6723F"/>
    <w:rsid w:val="00C67A5E"/>
    <w:rsid w:val="00C70B45"/>
    <w:rsid w:val="00C72838"/>
    <w:rsid w:val="00C73A3E"/>
    <w:rsid w:val="00C73FE7"/>
    <w:rsid w:val="00C76A20"/>
    <w:rsid w:val="00C76F51"/>
    <w:rsid w:val="00C867FF"/>
    <w:rsid w:val="00C86A05"/>
    <w:rsid w:val="00C87CE6"/>
    <w:rsid w:val="00C91B33"/>
    <w:rsid w:val="00C921C8"/>
    <w:rsid w:val="00C9267A"/>
    <w:rsid w:val="00C92EBF"/>
    <w:rsid w:val="00C93C90"/>
    <w:rsid w:val="00C944DA"/>
    <w:rsid w:val="00CA3A40"/>
    <w:rsid w:val="00CA4630"/>
    <w:rsid w:val="00CA6595"/>
    <w:rsid w:val="00CA6682"/>
    <w:rsid w:val="00CB1C33"/>
    <w:rsid w:val="00CB40C4"/>
    <w:rsid w:val="00CB460B"/>
    <w:rsid w:val="00CB621C"/>
    <w:rsid w:val="00CC21B0"/>
    <w:rsid w:val="00CC2A3C"/>
    <w:rsid w:val="00CD2D1D"/>
    <w:rsid w:val="00CD5F94"/>
    <w:rsid w:val="00CE0255"/>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785"/>
    <w:rsid w:val="00D02826"/>
    <w:rsid w:val="00D034DB"/>
    <w:rsid w:val="00D100A5"/>
    <w:rsid w:val="00D17AB6"/>
    <w:rsid w:val="00D200C6"/>
    <w:rsid w:val="00D20C37"/>
    <w:rsid w:val="00D23CD6"/>
    <w:rsid w:val="00D25BB2"/>
    <w:rsid w:val="00D32A39"/>
    <w:rsid w:val="00D3313C"/>
    <w:rsid w:val="00D35B35"/>
    <w:rsid w:val="00D3798F"/>
    <w:rsid w:val="00D431E8"/>
    <w:rsid w:val="00D46A7B"/>
    <w:rsid w:val="00D52703"/>
    <w:rsid w:val="00D542BA"/>
    <w:rsid w:val="00D5506F"/>
    <w:rsid w:val="00D564EE"/>
    <w:rsid w:val="00D60368"/>
    <w:rsid w:val="00D64936"/>
    <w:rsid w:val="00D64F1A"/>
    <w:rsid w:val="00D66A72"/>
    <w:rsid w:val="00D713DC"/>
    <w:rsid w:val="00D72F4D"/>
    <w:rsid w:val="00D736AC"/>
    <w:rsid w:val="00D7671D"/>
    <w:rsid w:val="00D76C99"/>
    <w:rsid w:val="00D77A08"/>
    <w:rsid w:val="00D81413"/>
    <w:rsid w:val="00D8315A"/>
    <w:rsid w:val="00D85F8F"/>
    <w:rsid w:val="00D860A8"/>
    <w:rsid w:val="00D87E57"/>
    <w:rsid w:val="00D87EFA"/>
    <w:rsid w:val="00D954FC"/>
    <w:rsid w:val="00DA1BA5"/>
    <w:rsid w:val="00DA580C"/>
    <w:rsid w:val="00DA5C13"/>
    <w:rsid w:val="00DA5CAA"/>
    <w:rsid w:val="00DA5D90"/>
    <w:rsid w:val="00DA6C29"/>
    <w:rsid w:val="00DA6E8D"/>
    <w:rsid w:val="00DA7222"/>
    <w:rsid w:val="00DA761F"/>
    <w:rsid w:val="00DB0CD1"/>
    <w:rsid w:val="00DB15EA"/>
    <w:rsid w:val="00DB2FF6"/>
    <w:rsid w:val="00DB4343"/>
    <w:rsid w:val="00DB6260"/>
    <w:rsid w:val="00DC134B"/>
    <w:rsid w:val="00DC3BF6"/>
    <w:rsid w:val="00DC6DD2"/>
    <w:rsid w:val="00DD15D1"/>
    <w:rsid w:val="00DD2575"/>
    <w:rsid w:val="00DD3185"/>
    <w:rsid w:val="00DD7E12"/>
    <w:rsid w:val="00DE0CF4"/>
    <w:rsid w:val="00DE0E63"/>
    <w:rsid w:val="00DE3DC6"/>
    <w:rsid w:val="00DE41A9"/>
    <w:rsid w:val="00DE4819"/>
    <w:rsid w:val="00DF594E"/>
    <w:rsid w:val="00DF5F8A"/>
    <w:rsid w:val="00DF6BA3"/>
    <w:rsid w:val="00DF7B1D"/>
    <w:rsid w:val="00E00756"/>
    <w:rsid w:val="00E04622"/>
    <w:rsid w:val="00E0553E"/>
    <w:rsid w:val="00E062DB"/>
    <w:rsid w:val="00E06486"/>
    <w:rsid w:val="00E101FB"/>
    <w:rsid w:val="00E2064E"/>
    <w:rsid w:val="00E22246"/>
    <w:rsid w:val="00E2359B"/>
    <w:rsid w:val="00E24230"/>
    <w:rsid w:val="00E26A69"/>
    <w:rsid w:val="00E3006E"/>
    <w:rsid w:val="00E3107A"/>
    <w:rsid w:val="00E32BC9"/>
    <w:rsid w:val="00E35388"/>
    <w:rsid w:val="00E366F4"/>
    <w:rsid w:val="00E40CE6"/>
    <w:rsid w:val="00E41662"/>
    <w:rsid w:val="00E41861"/>
    <w:rsid w:val="00E421D7"/>
    <w:rsid w:val="00E43757"/>
    <w:rsid w:val="00E43E07"/>
    <w:rsid w:val="00E454FE"/>
    <w:rsid w:val="00E46464"/>
    <w:rsid w:val="00E5259D"/>
    <w:rsid w:val="00E54AB4"/>
    <w:rsid w:val="00E572F8"/>
    <w:rsid w:val="00E57AFA"/>
    <w:rsid w:val="00E57DD3"/>
    <w:rsid w:val="00E63FB0"/>
    <w:rsid w:val="00E6479A"/>
    <w:rsid w:val="00E64E04"/>
    <w:rsid w:val="00E66D45"/>
    <w:rsid w:val="00E67F27"/>
    <w:rsid w:val="00E7021D"/>
    <w:rsid w:val="00E703A1"/>
    <w:rsid w:val="00E74F4F"/>
    <w:rsid w:val="00E75E18"/>
    <w:rsid w:val="00E770AD"/>
    <w:rsid w:val="00E80717"/>
    <w:rsid w:val="00E84179"/>
    <w:rsid w:val="00E85410"/>
    <w:rsid w:val="00E86F20"/>
    <w:rsid w:val="00E913F3"/>
    <w:rsid w:val="00E95BDA"/>
    <w:rsid w:val="00EA05E3"/>
    <w:rsid w:val="00EA4368"/>
    <w:rsid w:val="00EA5AD9"/>
    <w:rsid w:val="00EB1658"/>
    <w:rsid w:val="00EB38C5"/>
    <w:rsid w:val="00EB395C"/>
    <w:rsid w:val="00EB4A9B"/>
    <w:rsid w:val="00EB60BD"/>
    <w:rsid w:val="00EB6F95"/>
    <w:rsid w:val="00EC4E95"/>
    <w:rsid w:val="00EC582D"/>
    <w:rsid w:val="00EC6E2F"/>
    <w:rsid w:val="00EC7B03"/>
    <w:rsid w:val="00ED2066"/>
    <w:rsid w:val="00ED2DC6"/>
    <w:rsid w:val="00ED34E5"/>
    <w:rsid w:val="00ED623D"/>
    <w:rsid w:val="00ED6426"/>
    <w:rsid w:val="00ED76B8"/>
    <w:rsid w:val="00EF07FE"/>
    <w:rsid w:val="00EF0A7A"/>
    <w:rsid w:val="00EF100A"/>
    <w:rsid w:val="00EF164D"/>
    <w:rsid w:val="00EF19EA"/>
    <w:rsid w:val="00EF1F0F"/>
    <w:rsid w:val="00EF1F97"/>
    <w:rsid w:val="00EF74A8"/>
    <w:rsid w:val="00F003FB"/>
    <w:rsid w:val="00F00A7A"/>
    <w:rsid w:val="00F04F30"/>
    <w:rsid w:val="00F139D7"/>
    <w:rsid w:val="00F161F4"/>
    <w:rsid w:val="00F16CC1"/>
    <w:rsid w:val="00F224F9"/>
    <w:rsid w:val="00F2707F"/>
    <w:rsid w:val="00F32283"/>
    <w:rsid w:val="00F32B1D"/>
    <w:rsid w:val="00F32FB0"/>
    <w:rsid w:val="00F330A3"/>
    <w:rsid w:val="00F34C75"/>
    <w:rsid w:val="00F35690"/>
    <w:rsid w:val="00F4033D"/>
    <w:rsid w:val="00F4500D"/>
    <w:rsid w:val="00F45CDA"/>
    <w:rsid w:val="00F512BD"/>
    <w:rsid w:val="00F536D1"/>
    <w:rsid w:val="00F55D95"/>
    <w:rsid w:val="00F60CF8"/>
    <w:rsid w:val="00F6102B"/>
    <w:rsid w:val="00F65542"/>
    <w:rsid w:val="00F670CB"/>
    <w:rsid w:val="00F67573"/>
    <w:rsid w:val="00F717BE"/>
    <w:rsid w:val="00F76DBA"/>
    <w:rsid w:val="00F77EA7"/>
    <w:rsid w:val="00F81B51"/>
    <w:rsid w:val="00F845ED"/>
    <w:rsid w:val="00F85878"/>
    <w:rsid w:val="00F85B3B"/>
    <w:rsid w:val="00F86C5D"/>
    <w:rsid w:val="00F87147"/>
    <w:rsid w:val="00F874A7"/>
    <w:rsid w:val="00F906FA"/>
    <w:rsid w:val="00F90735"/>
    <w:rsid w:val="00F908C7"/>
    <w:rsid w:val="00F92E09"/>
    <w:rsid w:val="00FA0CC0"/>
    <w:rsid w:val="00FA3248"/>
    <w:rsid w:val="00FA35CA"/>
    <w:rsid w:val="00FB2E39"/>
    <w:rsid w:val="00FB4013"/>
    <w:rsid w:val="00FB43FD"/>
    <w:rsid w:val="00FC2319"/>
    <w:rsid w:val="00FC4DCD"/>
    <w:rsid w:val="00FC530C"/>
    <w:rsid w:val="00FD3110"/>
    <w:rsid w:val="00FD4814"/>
    <w:rsid w:val="00FE02B0"/>
    <w:rsid w:val="00FE1350"/>
    <w:rsid w:val="00FE20C9"/>
    <w:rsid w:val="00FE435A"/>
    <w:rsid w:val="00FE46A9"/>
    <w:rsid w:val="00FE53B2"/>
    <w:rsid w:val="00FE59C3"/>
    <w:rsid w:val="00FE697B"/>
    <w:rsid w:val="00FE73A4"/>
    <w:rsid w:val="00FF073E"/>
    <w:rsid w:val="00FF202F"/>
    <w:rsid w:val="00FF413A"/>
    <w:rsid w:val="056E1A36"/>
    <w:rsid w:val="05CE2081"/>
    <w:rsid w:val="10BB4439"/>
    <w:rsid w:val="14101FC0"/>
    <w:rsid w:val="16BF55F7"/>
    <w:rsid w:val="1D606475"/>
    <w:rsid w:val="1F727B01"/>
    <w:rsid w:val="1F9C9F9E"/>
    <w:rsid w:val="1FF65FE0"/>
    <w:rsid w:val="234B2768"/>
    <w:rsid w:val="24E574A9"/>
    <w:rsid w:val="2BD27A22"/>
    <w:rsid w:val="2BFB704C"/>
    <w:rsid w:val="2C2F78A3"/>
    <w:rsid w:val="2FFFA4F3"/>
    <w:rsid w:val="31FC3113"/>
    <w:rsid w:val="32A37436"/>
    <w:rsid w:val="37EFBB03"/>
    <w:rsid w:val="3ACEFA65"/>
    <w:rsid w:val="3D637C35"/>
    <w:rsid w:val="3DFD3051"/>
    <w:rsid w:val="3F77B2EA"/>
    <w:rsid w:val="44BE1BC0"/>
    <w:rsid w:val="470E7CF8"/>
    <w:rsid w:val="484F3305"/>
    <w:rsid w:val="48D12A65"/>
    <w:rsid w:val="495245DA"/>
    <w:rsid w:val="4ADA6548"/>
    <w:rsid w:val="4BC7CF4D"/>
    <w:rsid w:val="4BFC0AB8"/>
    <w:rsid w:val="4E5D070C"/>
    <w:rsid w:val="4FB52A43"/>
    <w:rsid w:val="4FFE069B"/>
    <w:rsid w:val="523323C8"/>
    <w:rsid w:val="525135D4"/>
    <w:rsid w:val="54FFAA53"/>
    <w:rsid w:val="55162E64"/>
    <w:rsid w:val="55DD1FD7"/>
    <w:rsid w:val="56BECFA4"/>
    <w:rsid w:val="5DFF9860"/>
    <w:rsid w:val="5E5F67CF"/>
    <w:rsid w:val="5E7ED30B"/>
    <w:rsid w:val="5F0E5849"/>
    <w:rsid w:val="5FD729DD"/>
    <w:rsid w:val="5FF1A997"/>
    <w:rsid w:val="5FF38264"/>
    <w:rsid w:val="5FF9D9A2"/>
    <w:rsid w:val="5FFD29B1"/>
    <w:rsid w:val="5FFF5719"/>
    <w:rsid w:val="63716EC6"/>
    <w:rsid w:val="672D23E4"/>
    <w:rsid w:val="675158AD"/>
    <w:rsid w:val="6ABEAD59"/>
    <w:rsid w:val="6B77B260"/>
    <w:rsid w:val="6BCB304A"/>
    <w:rsid w:val="6E616760"/>
    <w:rsid w:val="6EFDC130"/>
    <w:rsid w:val="6F7E9FD2"/>
    <w:rsid w:val="6FA81AD1"/>
    <w:rsid w:val="6FCB05A4"/>
    <w:rsid w:val="72DC5705"/>
    <w:rsid w:val="75D67D85"/>
    <w:rsid w:val="763B428B"/>
    <w:rsid w:val="76DBD909"/>
    <w:rsid w:val="77AE8543"/>
    <w:rsid w:val="77B76D4E"/>
    <w:rsid w:val="77EBEDC5"/>
    <w:rsid w:val="783A24FB"/>
    <w:rsid w:val="7A7FC264"/>
    <w:rsid w:val="7AFDD9A2"/>
    <w:rsid w:val="7B49A1F5"/>
    <w:rsid w:val="7B6F2545"/>
    <w:rsid w:val="7BAF350D"/>
    <w:rsid w:val="7BEFBB12"/>
    <w:rsid w:val="7CBF5D43"/>
    <w:rsid w:val="7CFBC9CE"/>
    <w:rsid w:val="7DA9B1C3"/>
    <w:rsid w:val="7DEF9CD5"/>
    <w:rsid w:val="7DFF28B6"/>
    <w:rsid w:val="7EC66E6D"/>
    <w:rsid w:val="7FBB8553"/>
    <w:rsid w:val="7FE91556"/>
    <w:rsid w:val="7FEF9B2F"/>
    <w:rsid w:val="7FFE1D4E"/>
    <w:rsid w:val="7FFFEF4C"/>
    <w:rsid w:val="8FEB5697"/>
    <w:rsid w:val="9E7D17A2"/>
    <w:rsid w:val="A3D4AE9A"/>
    <w:rsid w:val="A77F1C6A"/>
    <w:rsid w:val="AF77CAFC"/>
    <w:rsid w:val="AFD79E22"/>
    <w:rsid w:val="AFDFF4FD"/>
    <w:rsid w:val="B35C69E7"/>
    <w:rsid w:val="B3FF4157"/>
    <w:rsid w:val="B53F208B"/>
    <w:rsid w:val="B5BF8820"/>
    <w:rsid w:val="B79FFC42"/>
    <w:rsid w:val="BD3D1926"/>
    <w:rsid w:val="BF56FE8C"/>
    <w:rsid w:val="BF7D30E6"/>
    <w:rsid w:val="BFFFAC87"/>
    <w:rsid w:val="CDD6F552"/>
    <w:rsid w:val="CE7B310F"/>
    <w:rsid w:val="D73F758B"/>
    <w:rsid w:val="D9EF927D"/>
    <w:rsid w:val="DAF30C3A"/>
    <w:rsid w:val="DAFF5ABD"/>
    <w:rsid w:val="DD6F8F83"/>
    <w:rsid w:val="DD75A694"/>
    <w:rsid w:val="DDDFBC85"/>
    <w:rsid w:val="DE3D6876"/>
    <w:rsid w:val="DEF7FB5C"/>
    <w:rsid w:val="DF5C86C8"/>
    <w:rsid w:val="DFF0A724"/>
    <w:rsid w:val="DFFFAD1D"/>
    <w:rsid w:val="E6D71ED5"/>
    <w:rsid w:val="EA9DEDD1"/>
    <w:rsid w:val="EBFCAE59"/>
    <w:rsid w:val="EC7F8673"/>
    <w:rsid w:val="ECEB8A85"/>
    <w:rsid w:val="EFCBCD76"/>
    <w:rsid w:val="EFE75D81"/>
    <w:rsid w:val="EFFB9B5B"/>
    <w:rsid w:val="F1EEFEA5"/>
    <w:rsid w:val="F7F7AFE3"/>
    <w:rsid w:val="F8B730B7"/>
    <w:rsid w:val="FADE3EF6"/>
    <w:rsid w:val="FAFE9B88"/>
    <w:rsid w:val="FB6B97A0"/>
    <w:rsid w:val="FBF5C9C2"/>
    <w:rsid w:val="FBFBFBBA"/>
    <w:rsid w:val="FD788065"/>
    <w:rsid w:val="FD7A527B"/>
    <w:rsid w:val="FDDBC0F6"/>
    <w:rsid w:val="FDEBF61E"/>
    <w:rsid w:val="FDF59213"/>
    <w:rsid w:val="FEBBFCEF"/>
    <w:rsid w:val="FEE75FEC"/>
    <w:rsid w:val="FFAB5FD1"/>
    <w:rsid w:val="FFBB69DE"/>
    <w:rsid w:val="FFBF9A48"/>
    <w:rsid w:val="FFDFAFDD"/>
    <w:rsid w:val="FFE7FAAF"/>
    <w:rsid w:val="FFEB0326"/>
    <w:rsid w:val="FFF7732D"/>
    <w:rsid w:val="FFFB8126"/>
    <w:rsid w:val="FFFB86BC"/>
    <w:rsid w:val="FFFFA287"/>
    <w:rsid w:val="FFFFF6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页脚 Char"/>
    <w:link w:val="3"/>
    <w:qFormat/>
    <w:uiPriority w:val="99"/>
    <w:rPr>
      <w:rFonts w:eastAsia="宋体"/>
      <w:kern w:val="2"/>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6396</Words>
  <Characters>7166</Characters>
  <Lines>42</Lines>
  <Paragraphs>11</Paragraphs>
  <TotalTime>70</TotalTime>
  <ScaleCrop>false</ScaleCrop>
  <LinksUpToDate>false</LinksUpToDate>
  <CharactersWithSpaces>7186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2018-07-31T23:54:00Z</dcterms:created>
  <dc:creator>莫先孔</dc:creator>
  <cp:lastModifiedBy>陈俐君</cp:lastModifiedBy>
  <cp:lastPrinted>2024-10-25T01:29:49Z</cp:lastPrinted>
  <dcterms:modified xsi:type="dcterms:W3CDTF">2024-10-25T01:36:40Z</dcterms:modified>
  <dc:title>附件：（部门决算公开格式）</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81FD3AE7DCF640028BCE32E5A966D63D_13</vt:lpwstr>
  </property>
</Properties>
</file>